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6997B">
      <w:pPr>
        <w:spacing w:line="440" w:lineRule="exact"/>
        <w:rPr>
          <w:rFonts w:ascii="黑体" w:hAnsi="黑体" w:eastAsia="黑体" w:cs="黑体"/>
          <w:sz w:val="16"/>
          <w:szCs w:val="16"/>
        </w:rPr>
      </w:pPr>
      <w:r>
        <w:rPr>
          <w:rFonts w:hint="eastAsia" w:ascii="黑体" w:hAnsi="黑体" w:eastAsia="黑体" w:cs="黑体"/>
          <w:sz w:val="32"/>
          <w:szCs w:val="32"/>
        </w:rPr>
        <w:t>附件2</w:t>
      </w:r>
    </w:p>
    <w:p w14:paraId="6080C0BA">
      <w:pPr>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《参展告知书》</w:t>
      </w:r>
    </w:p>
    <w:p w14:paraId="479A6117">
      <w:pPr>
        <w:ind w:firstLine="482" w:firstLineChars="200"/>
        <w:rPr>
          <w:rFonts w:ascii="宋体" w:hAnsi="宋体"/>
          <w:b/>
          <w:bCs/>
          <w:sz w:val="24"/>
        </w:rPr>
      </w:pPr>
      <w:r>
        <w:rPr>
          <w:rFonts w:ascii="宋体" w:hAnsi="宋体"/>
          <w:b/>
          <w:bCs/>
          <w:sz w:val="24"/>
        </w:rPr>
        <w:t>1. 定义</w:t>
      </w:r>
    </w:p>
    <w:p w14:paraId="441FD274">
      <w:pPr>
        <w:ind w:firstLine="480" w:firstLineChars="200"/>
        <w:rPr>
          <w:rFonts w:ascii="宋体" w:hAnsi="宋体"/>
          <w:sz w:val="24"/>
        </w:rPr>
      </w:pPr>
      <w:r>
        <w:rPr>
          <w:rFonts w:hint="eastAsia" w:ascii="宋体" w:hAnsi="宋体"/>
          <w:sz w:val="24"/>
        </w:rPr>
        <w:t>本须知所定义的名词，适用于所有参展条款，除非上下文另有说明，否则均按以下的定义来解释。主办单位将全面管理和控制本展览会的各项事宜。</w:t>
      </w:r>
    </w:p>
    <w:p w14:paraId="77977C64">
      <w:pPr>
        <w:ind w:firstLine="480" w:firstLineChars="200"/>
        <w:rPr>
          <w:rFonts w:ascii="宋体" w:hAnsi="宋体"/>
          <w:sz w:val="24"/>
        </w:rPr>
      </w:pPr>
      <w:r>
        <w:rPr>
          <w:rFonts w:ascii="宋体" w:hAnsi="宋体"/>
          <w:sz w:val="24"/>
        </w:rPr>
        <w:t>1.1. “展览会”是指由本申请表中指定的主办单位</w:t>
      </w:r>
      <w:r>
        <w:rPr>
          <w:rFonts w:hint="eastAsia" w:ascii="宋体" w:hAnsi="宋体"/>
          <w:sz w:val="24"/>
        </w:rPr>
        <w:t>所组织的展览会。</w:t>
      </w:r>
    </w:p>
    <w:p w14:paraId="596D2859">
      <w:pPr>
        <w:ind w:firstLine="480" w:firstLineChars="200"/>
        <w:rPr>
          <w:rFonts w:ascii="宋体" w:hAnsi="宋体"/>
          <w:sz w:val="24"/>
        </w:rPr>
      </w:pPr>
      <w:r>
        <w:rPr>
          <w:rFonts w:ascii="宋体" w:hAnsi="宋体"/>
          <w:sz w:val="24"/>
        </w:rPr>
        <w:t>1.2. “参展商”是指在本展览会上展出的，其参展</w:t>
      </w:r>
      <w:r>
        <w:rPr>
          <w:rFonts w:hint="eastAsia" w:ascii="宋体" w:hAnsi="宋体"/>
          <w:sz w:val="24"/>
        </w:rPr>
        <w:t>或展览的请求已经由主办单位接受的私营企业、股份制公司或有限公司等。</w:t>
      </w:r>
    </w:p>
    <w:p w14:paraId="7A919482">
      <w:pPr>
        <w:ind w:firstLine="480" w:firstLineChars="200"/>
        <w:rPr>
          <w:rFonts w:ascii="宋体" w:hAnsi="宋体"/>
          <w:sz w:val="24"/>
        </w:rPr>
      </w:pPr>
      <w:r>
        <w:rPr>
          <w:rFonts w:ascii="宋体" w:hAnsi="宋体"/>
          <w:sz w:val="24"/>
        </w:rPr>
        <w:t>1.3. “展馆”是指</w:t>
      </w:r>
      <w:r>
        <w:rPr>
          <w:rFonts w:hint="eastAsia" w:ascii="宋体" w:hAnsi="宋体"/>
          <w:sz w:val="24"/>
        </w:rPr>
        <w:t>杭州国际博览中心</w:t>
      </w:r>
      <w:r>
        <w:rPr>
          <w:rFonts w:ascii="宋体" w:hAnsi="宋体"/>
          <w:sz w:val="24"/>
        </w:rPr>
        <w:t>。</w:t>
      </w:r>
    </w:p>
    <w:p w14:paraId="6CF3C5F0">
      <w:pPr>
        <w:ind w:firstLine="480" w:firstLineChars="200"/>
        <w:rPr>
          <w:rFonts w:ascii="宋体" w:hAnsi="宋体"/>
          <w:sz w:val="24"/>
        </w:rPr>
      </w:pPr>
      <w:r>
        <w:rPr>
          <w:rFonts w:ascii="宋体" w:hAnsi="宋体"/>
          <w:sz w:val="24"/>
        </w:rPr>
        <w:t>1.4. “相关期间”是指从参展商向主办单位递交</w:t>
      </w:r>
      <w:r>
        <w:rPr>
          <w:rFonts w:hint="eastAsia" w:ascii="宋体" w:hAnsi="宋体"/>
          <w:sz w:val="24"/>
        </w:rPr>
        <w:t>申请表之日开始，到展览会结束日止。</w:t>
      </w:r>
    </w:p>
    <w:p w14:paraId="0470DAB2">
      <w:pPr>
        <w:ind w:firstLine="480" w:firstLineChars="200"/>
        <w:rPr>
          <w:rFonts w:ascii="宋体" w:hAnsi="宋体"/>
          <w:sz w:val="24"/>
        </w:rPr>
      </w:pPr>
      <w:r>
        <w:rPr>
          <w:rFonts w:ascii="宋体" w:hAnsi="宋体"/>
          <w:sz w:val="24"/>
        </w:rPr>
        <w:t>1.5. “宣传资料”是指</w:t>
      </w:r>
      <w:r>
        <w:rPr>
          <w:rFonts w:hint="eastAsia" w:ascii="宋体" w:hAnsi="宋体"/>
          <w:sz w:val="24"/>
        </w:rPr>
        <w:t>会刊</w:t>
      </w:r>
      <w:r>
        <w:rPr>
          <w:rFonts w:ascii="宋体" w:hAnsi="宋体"/>
          <w:sz w:val="24"/>
        </w:rPr>
        <w:t>、</w:t>
      </w:r>
      <w:r>
        <w:rPr>
          <w:rFonts w:hint="eastAsia" w:ascii="宋体" w:hAnsi="宋体"/>
          <w:sz w:val="24"/>
        </w:rPr>
        <w:t>参观指南</w:t>
      </w:r>
      <w:r>
        <w:rPr>
          <w:rFonts w:ascii="宋体" w:hAnsi="宋体"/>
          <w:sz w:val="24"/>
        </w:rPr>
        <w:t>和参展</w:t>
      </w:r>
      <w:r>
        <w:rPr>
          <w:rFonts w:hint="eastAsia" w:ascii="宋体" w:hAnsi="宋体"/>
          <w:sz w:val="24"/>
        </w:rPr>
        <w:t>商希望在展览会上展示、派发或使用的所有广告和宣传资料。</w:t>
      </w:r>
    </w:p>
    <w:p w14:paraId="3BBD763A">
      <w:pPr>
        <w:ind w:firstLine="482" w:firstLineChars="200"/>
        <w:rPr>
          <w:rFonts w:ascii="宋体" w:hAnsi="宋体"/>
          <w:b/>
          <w:bCs/>
          <w:sz w:val="24"/>
        </w:rPr>
      </w:pPr>
      <w:r>
        <w:rPr>
          <w:rFonts w:ascii="宋体" w:hAnsi="宋体"/>
          <w:b/>
          <w:bCs/>
          <w:sz w:val="24"/>
        </w:rPr>
        <w:t>2. 时间安排</w:t>
      </w:r>
    </w:p>
    <w:tbl>
      <w:tblPr>
        <w:tblStyle w:val="3"/>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3170"/>
        <w:gridCol w:w="3170"/>
      </w:tblGrid>
      <w:tr w14:paraId="276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979" w:type="dxa"/>
            <w:vAlign w:val="center"/>
          </w:tcPr>
          <w:p w14:paraId="2E2C2631">
            <w:pPr>
              <w:jc w:val="center"/>
              <w:rPr>
                <w:rFonts w:ascii="宋体" w:hAnsi="宋体"/>
                <w:sz w:val="24"/>
              </w:rPr>
            </w:pPr>
            <w:r>
              <w:rPr>
                <w:rFonts w:hint="eastAsia" w:ascii="宋体" w:hAnsi="宋体"/>
                <w:sz w:val="24"/>
              </w:rPr>
              <w:t>展台搭建（布展期）</w:t>
            </w:r>
          </w:p>
        </w:tc>
        <w:tc>
          <w:tcPr>
            <w:tcW w:w="3170" w:type="dxa"/>
            <w:vAlign w:val="center"/>
          </w:tcPr>
          <w:p w14:paraId="09A8BBC7">
            <w:pPr>
              <w:jc w:val="center"/>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年3月</w:t>
            </w:r>
            <w:r>
              <w:rPr>
                <w:rFonts w:hint="eastAsia" w:ascii="宋体" w:hAnsi="宋体"/>
                <w:sz w:val="24"/>
                <w:lang w:val="en-US" w:eastAsia="zh-CN"/>
              </w:rPr>
              <w:t>28</w:t>
            </w:r>
            <w:r>
              <w:rPr>
                <w:rFonts w:hint="eastAsia" w:ascii="宋体" w:hAnsi="宋体"/>
                <w:sz w:val="24"/>
              </w:rPr>
              <w:t>、</w:t>
            </w:r>
            <w:r>
              <w:rPr>
                <w:rFonts w:hint="eastAsia" w:ascii="宋体" w:hAnsi="宋体"/>
                <w:sz w:val="24"/>
                <w:lang w:val="en-US" w:eastAsia="zh-CN"/>
              </w:rPr>
              <w:t>29</w:t>
            </w:r>
            <w:r>
              <w:rPr>
                <w:rFonts w:hint="eastAsia" w:ascii="宋体" w:hAnsi="宋体"/>
                <w:sz w:val="24"/>
              </w:rPr>
              <w:t>日</w:t>
            </w:r>
          </w:p>
        </w:tc>
        <w:tc>
          <w:tcPr>
            <w:tcW w:w="3170" w:type="dxa"/>
            <w:vAlign w:val="center"/>
          </w:tcPr>
          <w:p w14:paraId="32477962">
            <w:pPr>
              <w:jc w:val="center"/>
              <w:rPr>
                <w:rFonts w:ascii="宋体" w:hAnsi="宋体"/>
                <w:sz w:val="24"/>
              </w:rPr>
            </w:pPr>
            <w:r>
              <w:rPr>
                <w:rFonts w:hint="eastAsia" w:ascii="宋体" w:hAnsi="宋体"/>
                <w:sz w:val="24"/>
              </w:rPr>
              <w:t>08:30-17:30</w:t>
            </w:r>
          </w:p>
        </w:tc>
      </w:tr>
      <w:tr w14:paraId="2BF8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979" w:type="dxa"/>
            <w:vAlign w:val="center"/>
          </w:tcPr>
          <w:p w14:paraId="26D305A2">
            <w:pPr>
              <w:jc w:val="center"/>
              <w:rPr>
                <w:rFonts w:ascii="宋体" w:hAnsi="宋体"/>
                <w:sz w:val="24"/>
              </w:rPr>
            </w:pPr>
            <w:r>
              <w:rPr>
                <w:rFonts w:hint="eastAsia" w:ascii="宋体" w:hAnsi="宋体"/>
                <w:sz w:val="24"/>
              </w:rPr>
              <w:t>展览期间（展会期）</w:t>
            </w:r>
          </w:p>
        </w:tc>
        <w:tc>
          <w:tcPr>
            <w:tcW w:w="3170" w:type="dxa"/>
            <w:vAlign w:val="center"/>
          </w:tcPr>
          <w:p w14:paraId="551C7AB4">
            <w:pPr>
              <w:jc w:val="center"/>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年3月</w:t>
            </w:r>
            <w:r>
              <w:rPr>
                <w:rFonts w:hint="eastAsia" w:ascii="宋体" w:hAnsi="宋体"/>
                <w:sz w:val="24"/>
                <w:lang w:val="en-US" w:eastAsia="zh-CN"/>
              </w:rPr>
              <w:t>30</w:t>
            </w:r>
            <w:r>
              <w:rPr>
                <w:rFonts w:hint="eastAsia" w:ascii="宋体" w:hAnsi="宋体"/>
                <w:sz w:val="24"/>
              </w:rPr>
              <w:t>日-</w:t>
            </w:r>
            <w:r>
              <w:rPr>
                <w:rFonts w:hint="eastAsia" w:ascii="宋体" w:hAnsi="宋体"/>
                <w:sz w:val="24"/>
                <w:lang w:val="en-US" w:eastAsia="zh-CN"/>
              </w:rPr>
              <w:t>4月2</w:t>
            </w:r>
            <w:r>
              <w:rPr>
                <w:rFonts w:hint="eastAsia" w:ascii="宋体" w:hAnsi="宋体"/>
                <w:sz w:val="24"/>
              </w:rPr>
              <w:t>日</w:t>
            </w:r>
          </w:p>
        </w:tc>
        <w:tc>
          <w:tcPr>
            <w:tcW w:w="3170" w:type="dxa"/>
            <w:vAlign w:val="center"/>
          </w:tcPr>
          <w:p w14:paraId="0774798C">
            <w:pPr>
              <w:jc w:val="center"/>
              <w:rPr>
                <w:rFonts w:ascii="宋体" w:hAnsi="宋体"/>
                <w:sz w:val="24"/>
              </w:rPr>
            </w:pPr>
            <w:r>
              <w:rPr>
                <w:rFonts w:hint="eastAsia" w:ascii="宋体" w:hAnsi="宋体"/>
                <w:sz w:val="24"/>
                <w:lang w:val="en-US" w:eastAsia="zh-CN"/>
              </w:rPr>
              <w:t>30</w:t>
            </w:r>
            <w:r>
              <w:rPr>
                <w:rFonts w:hint="eastAsia" w:ascii="宋体" w:hAnsi="宋体"/>
                <w:sz w:val="24"/>
              </w:rPr>
              <w:t>日-</w:t>
            </w:r>
            <w:r>
              <w:rPr>
                <w:rFonts w:hint="eastAsia" w:ascii="宋体" w:hAnsi="宋体"/>
                <w:sz w:val="24"/>
                <w:lang w:val="en-US" w:eastAsia="zh-CN"/>
              </w:rPr>
              <w:t>1</w:t>
            </w:r>
            <w:r>
              <w:rPr>
                <w:rFonts w:hint="eastAsia" w:ascii="宋体" w:hAnsi="宋体"/>
                <w:sz w:val="24"/>
              </w:rPr>
              <w:t>日09:00-16:30</w:t>
            </w:r>
          </w:p>
          <w:p w14:paraId="00DF55BD">
            <w:pPr>
              <w:jc w:val="center"/>
              <w:rPr>
                <w:rFonts w:ascii="宋体" w:hAnsi="宋体"/>
                <w:sz w:val="24"/>
              </w:rPr>
            </w:pPr>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日09:00-12:00</w:t>
            </w:r>
          </w:p>
        </w:tc>
      </w:tr>
      <w:tr w14:paraId="3F01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979" w:type="dxa"/>
            <w:vAlign w:val="center"/>
          </w:tcPr>
          <w:p w14:paraId="18BC7B97">
            <w:pPr>
              <w:jc w:val="center"/>
              <w:rPr>
                <w:rFonts w:ascii="宋体" w:hAnsi="宋体"/>
                <w:sz w:val="24"/>
              </w:rPr>
            </w:pPr>
            <w:r>
              <w:rPr>
                <w:rFonts w:hint="eastAsia" w:ascii="宋体" w:hAnsi="宋体"/>
                <w:sz w:val="24"/>
              </w:rPr>
              <w:t>展台拆卸（撤展期）</w:t>
            </w:r>
          </w:p>
        </w:tc>
        <w:tc>
          <w:tcPr>
            <w:tcW w:w="3170" w:type="dxa"/>
            <w:vAlign w:val="center"/>
          </w:tcPr>
          <w:p w14:paraId="2131E41E">
            <w:pPr>
              <w:jc w:val="center"/>
              <w:rPr>
                <w:rFonts w:ascii="宋体" w:hAnsi="宋体"/>
                <w:sz w:val="24"/>
              </w:rPr>
            </w:pPr>
            <w:r>
              <w:rPr>
                <w:rFonts w:hint="eastAsia" w:ascii="宋体" w:hAnsi="宋体"/>
                <w:sz w:val="24"/>
              </w:rPr>
              <w:t>202</w:t>
            </w:r>
            <w:r>
              <w:rPr>
                <w:rFonts w:hint="eastAsia" w:ascii="宋体" w:hAnsi="宋体"/>
                <w:sz w:val="24"/>
                <w:lang w:val="en-US" w:eastAsia="zh-CN"/>
              </w:rPr>
              <w:t>6</w:t>
            </w:r>
            <w:r>
              <w:rPr>
                <w:rFonts w:ascii="宋体" w:hAnsi="宋体"/>
                <w:sz w:val="24"/>
              </w:rPr>
              <w:t>年</w:t>
            </w:r>
            <w:r>
              <w:rPr>
                <w:rFonts w:hint="eastAsia" w:ascii="宋体" w:hAnsi="宋体"/>
                <w:sz w:val="24"/>
                <w:lang w:val="en-US" w:eastAsia="zh-CN"/>
              </w:rPr>
              <w:t>4</w:t>
            </w:r>
            <w:r>
              <w:rPr>
                <w:rFonts w:ascii="宋体" w:hAnsi="宋体"/>
                <w:sz w:val="24"/>
              </w:rPr>
              <w:t>月</w:t>
            </w:r>
            <w:r>
              <w:rPr>
                <w:rFonts w:hint="eastAsia" w:ascii="宋体" w:hAnsi="宋体"/>
                <w:sz w:val="24"/>
                <w:lang w:val="en-US" w:eastAsia="zh-CN"/>
              </w:rPr>
              <w:t>2</w:t>
            </w:r>
            <w:r>
              <w:rPr>
                <w:rFonts w:ascii="宋体" w:hAnsi="宋体"/>
                <w:sz w:val="24"/>
              </w:rPr>
              <w:t>日</w:t>
            </w:r>
          </w:p>
        </w:tc>
        <w:tc>
          <w:tcPr>
            <w:tcW w:w="3170" w:type="dxa"/>
            <w:vAlign w:val="center"/>
          </w:tcPr>
          <w:p w14:paraId="72066C52">
            <w:pPr>
              <w:jc w:val="center"/>
              <w:rPr>
                <w:rFonts w:hint="default" w:ascii="宋体" w:hAnsi="宋体" w:eastAsia="宋体"/>
                <w:sz w:val="24"/>
                <w:lang w:val="en-US" w:eastAsia="zh-CN"/>
              </w:rPr>
            </w:pPr>
            <w:r>
              <w:rPr>
                <w:rFonts w:hint="eastAsia" w:ascii="宋体" w:hAnsi="宋体"/>
                <w:sz w:val="24"/>
              </w:rPr>
              <w:t>12:00-2</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30</w:t>
            </w:r>
          </w:p>
        </w:tc>
      </w:tr>
    </w:tbl>
    <w:p w14:paraId="5E904DDD">
      <w:pPr>
        <w:ind w:firstLine="482" w:firstLineChars="200"/>
        <w:rPr>
          <w:rFonts w:ascii="宋体" w:hAnsi="宋体"/>
          <w:b/>
          <w:bCs/>
          <w:sz w:val="24"/>
        </w:rPr>
      </w:pPr>
      <w:r>
        <w:rPr>
          <w:rFonts w:hint="eastAsia" w:ascii="宋体" w:hAnsi="宋体"/>
          <w:b/>
          <w:bCs/>
          <w:sz w:val="24"/>
        </w:rPr>
        <w:t>3</w:t>
      </w:r>
      <w:r>
        <w:rPr>
          <w:rFonts w:ascii="宋体" w:hAnsi="宋体"/>
          <w:b/>
          <w:bCs/>
          <w:sz w:val="24"/>
        </w:rPr>
        <w:t xml:space="preserve">. </w:t>
      </w:r>
      <w:r>
        <w:rPr>
          <w:rFonts w:hint="eastAsia" w:ascii="宋体" w:hAnsi="宋体"/>
          <w:b/>
          <w:bCs/>
          <w:sz w:val="24"/>
        </w:rPr>
        <w:t>展位</w:t>
      </w:r>
      <w:r>
        <w:rPr>
          <w:rFonts w:ascii="宋体" w:hAnsi="宋体"/>
          <w:b/>
          <w:bCs/>
          <w:sz w:val="24"/>
        </w:rPr>
        <w:t>费用</w:t>
      </w:r>
    </w:p>
    <w:tbl>
      <w:tblPr>
        <w:tblStyle w:val="3"/>
        <w:tblW w:w="9318" w:type="dxa"/>
        <w:jc w:val="center"/>
        <w:tblLayout w:type="fixed"/>
        <w:tblCellMar>
          <w:top w:w="0" w:type="dxa"/>
          <w:left w:w="108" w:type="dxa"/>
          <w:bottom w:w="0" w:type="dxa"/>
          <w:right w:w="108" w:type="dxa"/>
        </w:tblCellMar>
      </w:tblPr>
      <w:tblGrid>
        <w:gridCol w:w="2902"/>
        <w:gridCol w:w="2068"/>
        <w:gridCol w:w="2431"/>
        <w:gridCol w:w="1917"/>
      </w:tblGrid>
      <w:tr w14:paraId="16C72EAA">
        <w:tblPrEx>
          <w:tblCellMar>
            <w:top w:w="0" w:type="dxa"/>
            <w:left w:w="108" w:type="dxa"/>
            <w:bottom w:w="0" w:type="dxa"/>
            <w:right w:w="108" w:type="dxa"/>
          </w:tblCellMar>
        </w:tblPrEx>
        <w:trPr>
          <w:trHeight w:val="540" w:hRule="atLeast"/>
          <w:jc w:val="center"/>
        </w:trPr>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14:paraId="5B0FCE71">
            <w:pPr>
              <w:jc w:val="center"/>
              <w:rPr>
                <w:rFonts w:ascii="宋体" w:hAnsi="宋体"/>
                <w:sz w:val="24"/>
              </w:rPr>
            </w:pPr>
            <w:r>
              <w:rPr>
                <w:rFonts w:hint="eastAsia" w:ascii="宋体" w:hAnsi="宋体"/>
                <w:sz w:val="24"/>
              </w:rPr>
              <w:t>杭州国际博览中心</w:t>
            </w:r>
          </w:p>
        </w:tc>
        <w:tc>
          <w:tcPr>
            <w:tcW w:w="2068" w:type="dxa"/>
            <w:tcBorders>
              <w:top w:val="single" w:color="auto" w:sz="4" w:space="0"/>
              <w:left w:val="nil"/>
              <w:bottom w:val="single" w:color="auto" w:sz="4" w:space="0"/>
              <w:right w:val="single" w:color="auto" w:sz="4" w:space="0"/>
            </w:tcBorders>
            <w:shd w:val="clear" w:color="auto" w:fill="auto"/>
            <w:vAlign w:val="center"/>
          </w:tcPr>
          <w:p w14:paraId="686C1D1B">
            <w:pPr>
              <w:jc w:val="center"/>
              <w:rPr>
                <w:rFonts w:ascii="宋体" w:hAnsi="宋体"/>
                <w:sz w:val="24"/>
              </w:rPr>
            </w:pPr>
            <w:r>
              <w:rPr>
                <w:rFonts w:hint="eastAsia" w:ascii="宋体" w:hAnsi="宋体"/>
                <w:sz w:val="24"/>
              </w:rPr>
              <w:t>展示区域</w:t>
            </w:r>
          </w:p>
        </w:tc>
        <w:tc>
          <w:tcPr>
            <w:tcW w:w="2431" w:type="dxa"/>
            <w:tcBorders>
              <w:top w:val="single" w:color="auto" w:sz="4" w:space="0"/>
              <w:left w:val="nil"/>
              <w:bottom w:val="single" w:color="auto" w:sz="4" w:space="0"/>
              <w:right w:val="single" w:color="auto" w:sz="4" w:space="0"/>
            </w:tcBorders>
            <w:shd w:val="clear" w:color="auto" w:fill="auto"/>
            <w:vAlign w:val="center"/>
          </w:tcPr>
          <w:p w14:paraId="08365006">
            <w:pPr>
              <w:jc w:val="center"/>
              <w:rPr>
                <w:rFonts w:ascii="宋体" w:hAnsi="宋体"/>
                <w:sz w:val="24"/>
              </w:rPr>
            </w:pPr>
            <w:r>
              <w:rPr>
                <w:rFonts w:hint="eastAsia" w:ascii="宋体" w:hAnsi="宋体"/>
                <w:sz w:val="24"/>
              </w:rPr>
              <w:t>价格（元）/每展位</w:t>
            </w:r>
          </w:p>
          <w:p w14:paraId="5AFF00B7">
            <w:pPr>
              <w:jc w:val="center"/>
              <w:rPr>
                <w:rFonts w:ascii="宋体" w:hAnsi="宋体"/>
                <w:sz w:val="24"/>
              </w:rPr>
            </w:pPr>
            <w:r>
              <w:rPr>
                <w:rFonts w:hint="eastAsia" w:ascii="宋体" w:hAnsi="宋体"/>
                <w:sz w:val="24"/>
              </w:rPr>
              <w:t>（9平方米）</w:t>
            </w:r>
          </w:p>
        </w:tc>
        <w:tc>
          <w:tcPr>
            <w:tcW w:w="1917" w:type="dxa"/>
            <w:tcBorders>
              <w:top w:val="single" w:color="auto" w:sz="4" w:space="0"/>
              <w:left w:val="nil"/>
              <w:bottom w:val="single" w:color="auto" w:sz="4" w:space="0"/>
              <w:right w:val="single" w:color="auto" w:sz="4" w:space="0"/>
            </w:tcBorders>
            <w:shd w:val="clear" w:color="auto" w:fill="auto"/>
            <w:vAlign w:val="center"/>
          </w:tcPr>
          <w:p w14:paraId="569C8B72">
            <w:pPr>
              <w:jc w:val="center"/>
              <w:rPr>
                <w:rFonts w:ascii="宋体" w:hAnsi="宋体"/>
                <w:sz w:val="24"/>
              </w:rPr>
            </w:pPr>
            <w:r>
              <w:rPr>
                <w:rFonts w:hint="eastAsia" w:ascii="宋体" w:hAnsi="宋体"/>
                <w:sz w:val="24"/>
              </w:rPr>
              <w:t>备  注</w:t>
            </w:r>
          </w:p>
        </w:tc>
      </w:tr>
      <w:tr w14:paraId="0E2AFA1A">
        <w:tblPrEx>
          <w:tblCellMar>
            <w:top w:w="0" w:type="dxa"/>
            <w:left w:w="108" w:type="dxa"/>
            <w:bottom w:w="0" w:type="dxa"/>
            <w:right w:w="108" w:type="dxa"/>
          </w:tblCellMar>
        </w:tblPrEx>
        <w:trPr>
          <w:trHeight w:val="277" w:hRule="atLeast"/>
          <w:jc w:val="center"/>
        </w:trPr>
        <w:tc>
          <w:tcPr>
            <w:tcW w:w="2902" w:type="dxa"/>
            <w:tcBorders>
              <w:top w:val="nil"/>
              <w:left w:val="single" w:color="auto" w:sz="4" w:space="0"/>
              <w:bottom w:val="single" w:color="auto" w:sz="4" w:space="0"/>
              <w:right w:val="single" w:color="auto" w:sz="4" w:space="0"/>
            </w:tcBorders>
            <w:shd w:val="clear" w:color="000000" w:fill="FFFFFF" w:themeFill="background1"/>
            <w:vAlign w:val="center"/>
          </w:tcPr>
          <w:p w14:paraId="5F2784C7">
            <w:pPr>
              <w:jc w:val="center"/>
              <w:rPr>
                <w:rFonts w:ascii="宋体" w:hAnsi="宋体"/>
                <w:sz w:val="24"/>
              </w:rPr>
            </w:pPr>
            <w:r>
              <w:rPr>
                <w:rFonts w:hint="eastAsia" w:ascii="宋体" w:hAnsi="宋体"/>
                <w:sz w:val="24"/>
              </w:rPr>
              <w:t>1A馆、1B馆、1C馆</w:t>
            </w:r>
          </w:p>
        </w:tc>
        <w:tc>
          <w:tcPr>
            <w:tcW w:w="2068" w:type="dxa"/>
            <w:tcBorders>
              <w:top w:val="nil"/>
              <w:left w:val="nil"/>
              <w:bottom w:val="single" w:color="auto" w:sz="4" w:space="0"/>
              <w:right w:val="single" w:color="auto" w:sz="4" w:space="0"/>
            </w:tcBorders>
            <w:shd w:val="clear" w:color="000000" w:fill="FFFFFF" w:themeFill="background1"/>
            <w:vAlign w:val="center"/>
          </w:tcPr>
          <w:p w14:paraId="320262F5">
            <w:pPr>
              <w:jc w:val="center"/>
              <w:rPr>
                <w:rFonts w:ascii="宋体" w:hAnsi="宋体"/>
                <w:sz w:val="24"/>
              </w:rPr>
            </w:pPr>
            <w:r>
              <w:rPr>
                <w:rFonts w:hint="eastAsia" w:ascii="宋体" w:hAnsi="宋体"/>
                <w:sz w:val="24"/>
              </w:rPr>
              <w:t>标黄区域</w:t>
            </w:r>
          </w:p>
        </w:tc>
        <w:tc>
          <w:tcPr>
            <w:tcW w:w="2431" w:type="dxa"/>
            <w:tcBorders>
              <w:top w:val="nil"/>
              <w:left w:val="nil"/>
              <w:bottom w:val="single" w:color="auto" w:sz="4" w:space="0"/>
              <w:right w:val="single" w:color="auto" w:sz="4" w:space="0"/>
            </w:tcBorders>
            <w:shd w:val="clear" w:color="000000" w:fill="FFFFFF" w:themeFill="background1"/>
            <w:vAlign w:val="center"/>
          </w:tcPr>
          <w:p w14:paraId="1C52DAE6">
            <w:pPr>
              <w:jc w:val="center"/>
              <w:rPr>
                <w:rFonts w:ascii="宋体" w:hAnsi="宋体"/>
                <w:sz w:val="24"/>
              </w:rPr>
            </w:pPr>
            <w:r>
              <w:rPr>
                <w:rFonts w:hint="eastAsia" w:ascii="宋体" w:hAnsi="宋体"/>
                <w:sz w:val="24"/>
              </w:rPr>
              <w:t>29500.00</w:t>
            </w:r>
          </w:p>
        </w:tc>
        <w:tc>
          <w:tcPr>
            <w:tcW w:w="1917" w:type="dxa"/>
            <w:tcBorders>
              <w:top w:val="nil"/>
              <w:left w:val="nil"/>
              <w:bottom w:val="single" w:color="auto" w:sz="4" w:space="0"/>
              <w:right w:val="single" w:color="auto" w:sz="4" w:space="0"/>
            </w:tcBorders>
            <w:shd w:val="clear" w:color="000000" w:fill="FFFFFF" w:themeFill="background1"/>
            <w:vAlign w:val="center"/>
          </w:tcPr>
          <w:p w14:paraId="341462A2">
            <w:pPr>
              <w:jc w:val="center"/>
              <w:rPr>
                <w:rFonts w:ascii="宋体" w:hAnsi="宋体"/>
                <w:sz w:val="24"/>
              </w:rPr>
            </w:pPr>
            <w:r>
              <w:rPr>
                <w:rFonts w:hint="eastAsia" w:ascii="宋体" w:hAnsi="宋体"/>
                <w:sz w:val="24"/>
              </w:rPr>
              <w:t>特装区</w:t>
            </w:r>
          </w:p>
        </w:tc>
      </w:tr>
      <w:tr w14:paraId="4EA9279E">
        <w:tblPrEx>
          <w:tblCellMar>
            <w:top w:w="0" w:type="dxa"/>
            <w:left w:w="108" w:type="dxa"/>
            <w:bottom w:w="0" w:type="dxa"/>
            <w:right w:w="108" w:type="dxa"/>
          </w:tblCellMar>
        </w:tblPrEx>
        <w:trPr>
          <w:trHeight w:val="274" w:hRule="atLeast"/>
          <w:jc w:val="center"/>
        </w:trPr>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14:paraId="45C78ABF">
            <w:pPr>
              <w:jc w:val="center"/>
              <w:rPr>
                <w:rFonts w:ascii="宋体" w:hAnsi="宋体"/>
                <w:sz w:val="24"/>
              </w:rPr>
            </w:pPr>
            <w:r>
              <w:rPr>
                <w:rFonts w:hint="eastAsia" w:ascii="宋体" w:hAnsi="宋体"/>
                <w:sz w:val="24"/>
              </w:rPr>
              <w:t>1A馆、1B馆、1C馆</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028E2B28">
            <w:pPr>
              <w:jc w:val="center"/>
              <w:rPr>
                <w:rFonts w:ascii="宋体" w:hAnsi="宋体"/>
                <w:sz w:val="24"/>
              </w:rPr>
            </w:pPr>
            <w:r>
              <w:rPr>
                <w:rFonts w:hint="eastAsia" w:ascii="宋体" w:hAnsi="宋体"/>
                <w:sz w:val="24"/>
              </w:rPr>
              <w:t>白色区域</w:t>
            </w:r>
          </w:p>
        </w:tc>
        <w:tc>
          <w:tcPr>
            <w:tcW w:w="2431" w:type="dxa"/>
            <w:tcBorders>
              <w:top w:val="single" w:color="auto" w:sz="4" w:space="0"/>
              <w:left w:val="single" w:color="auto" w:sz="4" w:space="0"/>
              <w:bottom w:val="single" w:color="auto" w:sz="4" w:space="0"/>
              <w:right w:val="single" w:color="auto" w:sz="4" w:space="0"/>
            </w:tcBorders>
            <w:shd w:val="clear" w:color="auto" w:fill="auto"/>
            <w:vAlign w:val="center"/>
          </w:tcPr>
          <w:p w14:paraId="2D9F35A5">
            <w:pPr>
              <w:jc w:val="center"/>
              <w:rPr>
                <w:rFonts w:ascii="宋体" w:hAnsi="宋体"/>
                <w:sz w:val="24"/>
              </w:rPr>
            </w:pPr>
            <w:r>
              <w:rPr>
                <w:rFonts w:hint="eastAsia" w:ascii="宋体" w:hAnsi="宋体"/>
                <w:sz w:val="24"/>
              </w:rPr>
              <w:t>27000.00</w:t>
            </w:r>
          </w:p>
        </w:tc>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22B55481">
            <w:pPr>
              <w:jc w:val="center"/>
              <w:rPr>
                <w:rFonts w:ascii="宋体" w:hAnsi="宋体"/>
                <w:sz w:val="24"/>
              </w:rPr>
            </w:pPr>
            <w:r>
              <w:rPr>
                <w:rFonts w:hint="eastAsia" w:ascii="宋体" w:hAnsi="宋体"/>
                <w:sz w:val="24"/>
              </w:rPr>
              <w:t>　</w:t>
            </w:r>
          </w:p>
        </w:tc>
      </w:tr>
      <w:tr w14:paraId="73414E75">
        <w:tblPrEx>
          <w:tblCellMar>
            <w:top w:w="0" w:type="dxa"/>
            <w:left w:w="108" w:type="dxa"/>
            <w:bottom w:w="0" w:type="dxa"/>
            <w:right w:w="108" w:type="dxa"/>
          </w:tblCellMar>
        </w:tblPrEx>
        <w:trPr>
          <w:trHeight w:val="274" w:hRule="atLeast"/>
          <w:jc w:val="center"/>
        </w:trPr>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14:paraId="58404603">
            <w:pPr>
              <w:jc w:val="center"/>
              <w:rPr>
                <w:rFonts w:ascii="宋体" w:hAnsi="宋体"/>
                <w:sz w:val="24"/>
              </w:rPr>
            </w:pPr>
            <w:r>
              <w:rPr>
                <w:rFonts w:hint="eastAsia" w:ascii="宋体" w:hAnsi="宋体"/>
                <w:sz w:val="24"/>
              </w:rPr>
              <w:t>1A馆、1C馆</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45832898">
            <w:pPr>
              <w:jc w:val="center"/>
              <w:rPr>
                <w:rFonts w:ascii="宋体" w:hAnsi="宋体"/>
                <w:sz w:val="24"/>
              </w:rPr>
            </w:pPr>
            <w:r>
              <w:rPr>
                <w:rFonts w:hint="eastAsia" w:ascii="宋体" w:hAnsi="宋体"/>
                <w:sz w:val="24"/>
                <w:lang w:val="en-US" w:eastAsia="zh-CN"/>
              </w:rPr>
              <w:t>蓝色</w:t>
            </w:r>
            <w:r>
              <w:rPr>
                <w:rFonts w:hint="eastAsia" w:ascii="宋体" w:hAnsi="宋体"/>
                <w:sz w:val="24"/>
              </w:rPr>
              <w:t>区域</w:t>
            </w:r>
          </w:p>
        </w:tc>
        <w:tc>
          <w:tcPr>
            <w:tcW w:w="2431" w:type="dxa"/>
            <w:tcBorders>
              <w:top w:val="single" w:color="auto" w:sz="4" w:space="0"/>
              <w:left w:val="single" w:color="auto" w:sz="4" w:space="0"/>
              <w:bottom w:val="single" w:color="auto" w:sz="4" w:space="0"/>
              <w:right w:val="single" w:color="auto" w:sz="4" w:space="0"/>
            </w:tcBorders>
            <w:shd w:val="clear" w:color="auto" w:fill="auto"/>
            <w:vAlign w:val="center"/>
          </w:tcPr>
          <w:p w14:paraId="25BCD376">
            <w:pPr>
              <w:jc w:val="center"/>
              <w:rPr>
                <w:rFonts w:ascii="宋体" w:hAnsi="宋体"/>
                <w:sz w:val="24"/>
              </w:rPr>
            </w:pPr>
            <w:r>
              <w:rPr>
                <w:rFonts w:hint="eastAsia" w:ascii="宋体" w:hAnsi="宋体"/>
                <w:sz w:val="24"/>
              </w:rPr>
              <w:t>24000.00</w:t>
            </w:r>
          </w:p>
        </w:tc>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009911B0">
            <w:pPr>
              <w:jc w:val="center"/>
              <w:rPr>
                <w:rFonts w:ascii="宋体" w:hAnsi="宋体"/>
                <w:sz w:val="24"/>
              </w:rPr>
            </w:pPr>
            <w:r>
              <w:rPr>
                <w:rFonts w:hint="eastAsia" w:ascii="宋体" w:hAnsi="宋体"/>
                <w:sz w:val="24"/>
              </w:rPr>
              <w:t>　</w:t>
            </w:r>
          </w:p>
        </w:tc>
      </w:tr>
      <w:tr w14:paraId="282A2805">
        <w:tblPrEx>
          <w:tblCellMar>
            <w:top w:w="0" w:type="dxa"/>
            <w:left w:w="108" w:type="dxa"/>
            <w:bottom w:w="0" w:type="dxa"/>
            <w:right w:w="108" w:type="dxa"/>
          </w:tblCellMar>
        </w:tblPrEx>
        <w:trPr>
          <w:trHeight w:val="548" w:hRule="atLeast"/>
          <w:jc w:val="center"/>
        </w:trPr>
        <w:tc>
          <w:tcPr>
            <w:tcW w:w="9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3FE946">
            <w:pPr>
              <w:jc w:val="left"/>
              <w:rPr>
                <w:rFonts w:ascii="宋体" w:hAnsi="宋体"/>
                <w:sz w:val="24"/>
              </w:rPr>
            </w:pPr>
            <w:r>
              <w:rPr>
                <w:rFonts w:hint="eastAsia" w:ascii="宋体" w:hAnsi="宋体"/>
                <w:sz w:val="24"/>
              </w:rPr>
              <w:t>1.室内救护车展位价格为</w:t>
            </w:r>
            <w:r>
              <w:rPr>
                <w:rFonts w:hint="eastAsia" w:ascii="宋体" w:hAnsi="宋体"/>
                <w:b/>
                <w:bCs/>
                <w:sz w:val="24"/>
              </w:rPr>
              <w:t>1</w:t>
            </w:r>
            <w:r>
              <w:rPr>
                <w:rFonts w:hint="eastAsia" w:ascii="宋体" w:hAnsi="宋体"/>
                <w:b/>
                <w:bCs/>
                <w:sz w:val="24"/>
                <w:lang w:val="en-US" w:eastAsia="zh-CN"/>
              </w:rPr>
              <w:t>45</w:t>
            </w:r>
            <w:r>
              <w:rPr>
                <w:rFonts w:hint="eastAsia" w:ascii="宋体" w:hAnsi="宋体"/>
                <w:b/>
                <w:bCs/>
                <w:sz w:val="24"/>
              </w:rPr>
              <w:t>00元/每车位</w:t>
            </w:r>
            <w:r>
              <w:rPr>
                <w:rFonts w:hint="eastAsia" w:ascii="宋体" w:hAnsi="宋体"/>
                <w:sz w:val="24"/>
              </w:rPr>
              <w:t>。</w:t>
            </w:r>
            <w:r>
              <w:rPr>
                <w:rFonts w:hint="eastAsia" w:ascii="宋体" w:hAnsi="宋体"/>
                <w:b/>
                <w:bCs/>
                <w:sz w:val="24"/>
              </w:rPr>
              <w:t>（注：救护车展位位置按企业申请表递交至邮箱的先后顺序安排。）</w:t>
            </w:r>
          </w:p>
        </w:tc>
      </w:tr>
    </w:tbl>
    <w:p w14:paraId="3FECCA0C">
      <w:pPr>
        <w:ind w:firstLine="482" w:firstLineChars="200"/>
        <w:rPr>
          <w:rFonts w:ascii="宋体" w:hAnsi="宋体"/>
          <w:b/>
          <w:bCs/>
          <w:sz w:val="24"/>
        </w:rPr>
      </w:pPr>
      <w:r>
        <w:rPr>
          <w:rFonts w:hint="eastAsia" w:ascii="宋体" w:hAnsi="宋体"/>
          <w:b/>
          <w:bCs/>
          <w:sz w:val="24"/>
        </w:rPr>
        <w:t>4. 参展方案</w:t>
      </w:r>
    </w:p>
    <w:p w14:paraId="42EB2A37">
      <w:pPr>
        <w:ind w:firstLine="480" w:firstLineChars="200"/>
        <w:rPr>
          <w:rFonts w:ascii="宋体" w:hAnsi="宋体"/>
          <w:sz w:val="24"/>
        </w:rPr>
      </w:pPr>
      <w:r>
        <w:rPr>
          <w:rFonts w:ascii="宋体" w:hAnsi="宋体"/>
          <w:sz w:val="24"/>
        </w:rPr>
        <w:t>4.1. 一般服务和配置</w:t>
      </w:r>
    </w:p>
    <w:p w14:paraId="17F2338E">
      <w:pPr>
        <w:ind w:firstLine="480" w:firstLineChars="200"/>
        <w:rPr>
          <w:rFonts w:ascii="宋体" w:hAnsi="宋体"/>
          <w:sz w:val="24"/>
        </w:rPr>
      </w:pPr>
      <w:r>
        <w:rPr>
          <w:rFonts w:hint="eastAsia" w:ascii="宋体" w:hAnsi="宋体"/>
          <w:sz w:val="24"/>
        </w:rPr>
        <w:t>·提供可使用的展位空间（展位面积）</w:t>
      </w:r>
    </w:p>
    <w:p w14:paraId="56ACDC0C">
      <w:pPr>
        <w:ind w:firstLine="480" w:firstLineChars="200"/>
        <w:rPr>
          <w:rFonts w:ascii="宋体" w:hAnsi="宋体"/>
          <w:sz w:val="24"/>
        </w:rPr>
      </w:pPr>
      <w:r>
        <w:rPr>
          <w:rFonts w:hint="eastAsia" w:ascii="宋体" w:hAnsi="宋体"/>
          <w:sz w:val="24"/>
        </w:rPr>
        <w:t>·展会期的大厅空调使用</w:t>
      </w:r>
    </w:p>
    <w:p w14:paraId="2ED49F49">
      <w:pPr>
        <w:ind w:firstLine="480" w:firstLineChars="200"/>
        <w:rPr>
          <w:rFonts w:ascii="宋体" w:hAnsi="宋体"/>
          <w:sz w:val="24"/>
        </w:rPr>
      </w:pPr>
      <w:r>
        <w:rPr>
          <w:rFonts w:hint="eastAsia" w:ascii="宋体" w:hAnsi="宋体"/>
          <w:sz w:val="24"/>
        </w:rPr>
        <w:t>·会刊信息的基本输入（公司名称、地址、国家、电话和传真）</w:t>
      </w:r>
    </w:p>
    <w:p w14:paraId="0193C761">
      <w:pPr>
        <w:ind w:firstLine="480" w:firstLineChars="200"/>
        <w:rPr>
          <w:rFonts w:ascii="宋体" w:hAnsi="宋体"/>
          <w:sz w:val="24"/>
        </w:rPr>
      </w:pPr>
      <w:r>
        <w:rPr>
          <w:rFonts w:hint="eastAsia" w:ascii="宋体" w:hAnsi="宋体"/>
          <w:sz w:val="24"/>
        </w:rPr>
        <w:t>·展位号码</w:t>
      </w:r>
    </w:p>
    <w:p w14:paraId="1729DF8E">
      <w:pPr>
        <w:ind w:firstLine="480" w:firstLineChars="200"/>
        <w:rPr>
          <w:rFonts w:ascii="宋体" w:hAnsi="宋体"/>
          <w:sz w:val="24"/>
        </w:rPr>
      </w:pPr>
      <w:r>
        <w:rPr>
          <w:rFonts w:hint="eastAsia" w:ascii="宋体" w:hAnsi="宋体"/>
          <w:sz w:val="24"/>
        </w:rPr>
        <w:t>·展厅内走廊、过道的清扫（参展商负责清扫自己展位）</w:t>
      </w:r>
    </w:p>
    <w:p w14:paraId="696EDF77">
      <w:pPr>
        <w:ind w:firstLine="480" w:firstLineChars="200"/>
        <w:rPr>
          <w:rFonts w:ascii="宋体" w:hAnsi="宋体"/>
          <w:sz w:val="24"/>
        </w:rPr>
      </w:pPr>
      <w:r>
        <w:rPr>
          <w:rFonts w:hint="eastAsia" w:ascii="宋体" w:hAnsi="宋体"/>
          <w:sz w:val="24"/>
        </w:rPr>
        <w:t>·整体安全服务（公共区域安全监控服务以及防疫、消防、急救、医疗等服务）</w:t>
      </w:r>
    </w:p>
    <w:p w14:paraId="2469A2B5">
      <w:pPr>
        <w:ind w:firstLine="480" w:firstLineChars="200"/>
        <w:rPr>
          <w:rFonts w:ascii="宋体" w:hAnsi="宋体"/>
          <w:sz w:val="24"/>
        </w:rPr>
      </w:pPr>
      <w:r>
        <w:rPr>
          <w:rFonts w:hint="eastAsia" w:ascii="宋体" w:hAnsi="宋体"/>
          <w:sz w:val="24"/>
        </w:rPr>
        <w:t>·在布展期、展会期和撤展期的公共照明服务</w:t>
      </w:r>
    </w:p>
    <w:p w14:paraId="13346767">
      <w:pPr>
        <w:ind w:firstLine="480" w:firstLineChars="200"/>
        <w:rPr>
          <w:rFonts w:ascii="宋体" w:hAnsi="宋体"/>
          <w:sz w:val="24"/>
        </w:rPr>
      </w:pPr>
      <w:r>
        <w:rPr>
          <w:rFonts w:hint="eastAsia" w:ascii="宋体" w:hAnsi="宋体"/>
          <w:sz w:val="24"/>
        </w:rPr>
        <w:t>·展览会的全面推广</w:t>
      </w:r>
    </w:p>
    <w:p w14:paraId="18D25794">
      <w:pPr>
        <w:ind w:firstLine="480" w:firstLineChars="200"/>
        <w:rPr>
          <w:rFonts w:ascii="宋体" w:hAnsi="宋体"/>
          <w:sz w:val="24"/>
        </w:rPr>
      </w:pPr>
      <w:r>
        <w:rPr>
          <w:rFonts w:hint="eastAsia" w:ascii="宋体" w:hAnsi="宋体"/>
          <w:sz w:val="24"/>
        </w:rPr>
        <w:t>·参观者登记系统</w:t>
      </w:r>
    </w:p>
    <w:p w14:paraId="2789E7C9">
      <w:pPr>
        <w:ind w:firstLine="480" w:firstLineChars="200"/>
        <w:rPr>
          <w:rFonts w:ascii="宋体" w:hAnsi="宋体"/>
          <w:sz w:val="24"/>
        </w:rPr>
      </w:pPr>
      <w:r>
        <w:rPr>
          <w:rFonts w:hint="eastAsia" w:ascii="宋体" w:hAnsi="宋体"/>
          <w:sz w:val="24"/>
        </w:rPr>
        <w:t>·参观者咨询服务</w:t>
      </w:r>
    </w:p>
    <w:p w14:paraId="538BCE77">
      <w:pPr>
        <w:ind w:firstLine="480" w:firstLineChars="200"/>
        <w:rPr>
          <w:rFonts w:ascii="宋体" w:hAnsi="宋体"/>
          <w:sz w:val="24"/>
        </w:rPr>
      </w:pPr>
      <w:r>
        <w:rPr>
          <w:rFonts w:ascii="宋体" w:hAnsi="宋体"/>
          <w:sz w:val="24"/>
        </w:rPr>
        <w:t>4.2. 展位布置方案</w:t>
      </w:r>
    </w:p>
    <w:p w14:paraId="73C498E5">
      <w:pPr>
        <w:ind w:firstLine="480" w:firstLineChars="200"/>
        <w:rPr>
          <w:rFonts w:ascii="宋体" w:hAnsi="宋体"/>
          <w:sz w:val="24"/>
        </w:rPr>
      </w:pPr>
      <w:r>
        <w:rPr>
          <w:rFonts w:hint="eastAsia" w:ascii="宋体" w:hAnsi="宋体"/>
          <w:sz w:val="24"/>
        </w:rPr>
        <w:t>·标准展位：提供展位搭建和拆卸服务（标配1张方桌、2把折椅）；</w:t>
      </w:r>
    </w:p>
    <w:p w14:paraId="469FB9B4">
      <w:pPr>
        <w:ind w:firstLine="480" w:firstLineChars="200"/>
        <w:rPr>
          <w:rFonts w:ascii="宋体" w:hAnsi="宋体"/>
          <w:sz w:val="24"/>
        </w:rPr>
      </w:pPr>
      <w:r>
        <w:rPr>
          <w:rFonts w:hint="eastAsia" w:ascii="宋体" w:hAnsi="宋体"/>
          <w:sz w:val="24"/>
        </w:rPr>
        <w:t>·特装展位：提供展示面积，不负责任何搭建和拆卸。</w:t>
      </w:r>
    </w:p>
    <w:p w14:paraId="1CBCFFE2">
      <w:pPr>
        <w:ind w:firstLine="482" w:firstLineChars="200"/>
        <w:rPr>
          <w:rFonts w:ascii="宋体" w:hAnsi="宋体"/>
          <w:b/>
          <w:bCs/>
          <w:sz w:val="24"/>
        </w:rPr>
      </w:pPr>
      <w:r>
        <w:rPr>
          <w:rFonts w:ascii="宋体" w:hAnsi="宋体"/>
          <w:b/>
          <w:bCs/>
          <w:sz w:val="24"/>
        </w:rPr>
        <w:t xml:space="preserve">5. </w:t>
      </w:r>
      <w:r>
        <w:rPr>
          <w:rFonts w:hint="eastAsia" w:ascii="宋体" w:hAnsi="宋体"/>
          <w:b/>
          <w:bCs/>
          <w:sz w:val="24"/>
        </w:rPr>
        <w:t>展位申请</w:t>
      </w:r>
    </w:p>
    <w:p w14:paraId="3F17D7CC">
      <w:pPr>
        <w:ind w:firstLine="480" w:firstLineChars="200"/>
        <w:rPr>
          <w:rFonts w:ascii="宋体" w:hAnsi="宋体"/>
          <w:sz w:val="24"/>
        </w:rPr>
      </w:pPr>
      <w:r>
        <w:rPr>
          <w:rFonts w:hint="eastAsia" w:ascii="宋体" w:hAnsi="宋体"/>
          <w:sz w:val="24"/>
        </w:rPr>
        <w:t>参展商填写后附表格，提交申请，并声明接受参展条件。填好表格后，请出具参展商具有法律效力的签字并加盖公章。对具体展位提出要求不能视为参展条件。只有在主办单位以邮件形式收到申请表格后，申请才视为提交。当主办单位反馈同意参展商申请后，申请才视为有效。本登记条款所指的相关期间应从参展商向主办单位递交申请表之日开始，并在展览会的结束之日终止。</w:t>
      </w:r>
    </w:p>
    <w:p w14:paraId="0262EC4E">
      <w:pPr>
        <w:ind w:firstLine="482" w:firstLineChars="200"/>
        <w:rPr>
          <w:rFonts w:ascii="宋体" w:hAnsi="宋体"/>
          <w:b/>
          <w:bCs/>
          <w:sz w:val="24"/>
        </w:rPr>
      </w:pPr>
      <w:r>
        <w:rPr>
          <w:rFonts w:ascii="宋体" w:hAnsi="宋体"/>
          <w:b/>
          <w:bCs/>
          <w:sz w:val="24"/>
        </w:rPr>
        <w:t>6. 批准申请</w:t>
      </w:r>
    </w:p>
    <w:p w14:paraId="1F0E6435">
      <w:pPr>
        <w:ind w:firstLine="480" w:firstLineChars="200"/>
        <w:rPr>
          <w:rFonts w:ascii="宋体" w:hAnsi="宋体"/>
          <w:sz w:val="24"/>
        </w:rPr>
      </w:pPr>
      <w:r>
        <w:rPr>
          <w:rFonts w:hint="eastAsia" w:ascii="宋体" w:hAnsi="宋体"/>
          <w:sz w:val="24"/>
        </w:rPr>
        <w:t>原则上，只有产品属于展会范围之内的参展商才能参展。主办单位有绝对和唯一的权利决定参展商和展品的资格。在主办单位以邮件形式接受参展商的申请之前，无论双方是否支付或收取了随同申请一同递交的全额租金，参展商将不具有任何参展权利。主办单位保留不出具理由而拒绝申请的权利。如果主办单位是由于误解或错误信息才接受参展商的申请，或当初的前提条件已经不复适用，主办单位有权收回给予参展商批准。如主办单位根据具体情况不得不重新分配或调整个别展台、入口、出口或过道，在以上变动及时完成的情况下，主办单位不接受任何的索赔要求。</w:t>
      </w:r>
    </w:p>
    <w:p w14:paraId="557474D7">
      <w:pPr>
        <w:ind w:firstLine="482" w:firstLineChars="200"/>
        <w:rPr>
          <w:rFonts w:ascii="宋体" w:hAnsi="宋体"/>
          <w:b/>
          <w:bCs/>
          <w:sz w:val="24"/>
        </w:rPr>
      </w:pPr>
      <w:r>
        <w:rPr>
          <w:rFonts w:ascii="宋体" w:hAnsi="宋体"/>
          <w:b/>
          <w:bCs/>
          <w:sz w:val="24"/>
        </w:rPr>
        <w:t>7. 付款方式</w:t>
      </w:r>
    </w:p>
    <w:p w14:paraId="67F739F1">
      <w:pPr>
        <w:ind w:firstLine="480" w:firstLineChars="200"/>
        <w:rPr>
          <w:rFonts w:ascii="宋体" w:hAnsi="宋体"/>
          <w:sz w:val="24"/>
        </w:rPr>
      </w:pPr>
      <w:r>
        <w:rPr>
          <w:rFonts w:hint="eastAsia" w:ascii="宋体" w:hAnsi="宋体"/>
          <w:sz w:val="24"/>
        </w:rPr>
        <w:t>在参展商之申请被主办单位接受后，应支付第3</w:t>
      </w:r>
      <w:r>
        <w:rPr>
          <w:rFonts w:ascii="宋体" w:hAnsi="宋体"/>
          <w:sz w:val="24"/>
        </w:rPr>
        <w:t>条例</w:t>
      </w:r>
      <w:r>
        <w:rPr>
          <w:rFonts w:hint="eastAsia" w:ascii="宋体" w:hAnsi="宋体"/>
          <w:sz w:val="24"/>
        </w:rPr>
        <w:t>列举的参展费且一次性全额付清。</w:t>
      </w:r>
    </w:p>
    <w:p w14:paraId="49F47C0D">
      <w:pPr>
        <w:ind w:firstLine="480" w:firstLineChars="200"/>
        <w:rPr>
          <w:rFonts w:ascii="宋体" w:hAnsi="宋体"/>
          <w:sz w:val="24"/>
        </w:rPr>
      </w:pPr>
      <w:r>
        <w:rPr>
          <w:rFonts w:ascii="宋体" w:hAnsi="宋体"/>
          <w:sz w:val="24"/>
        </w:rPr>
        <w:t>7.</w:t>
      </w:r>
      <w:r>
        <w:rPr>
          <w:rFonts w:hint="eastAsia" w:ascii="宋体" w:hAnsi="宋体"/>
          <w:sz w:val="24"/>
        </w:rPr>
        <w:t>1</w:t>
      </w:r>
      <w:r>
        <w:rPr>
          <w:rFonts w:ascii="宋体" w:hAnsi="宋体"/>
          <w:sz w:val="24"/>
        </w:rPr>
        <w:t xml:space="preserve">. </w:t>
      </w:r>
      <w:r>
        <w:rPr>
          <w:rFonts w:hint="eastAsia" w:ascii="宋体" w:hAnsi="宋体"/>
          <w:sz w:val="24"/>
        </w:rPr>
        <w:t>付款方式及账户信息详见当届展会招展公告。</w:t>
      </w:r>
    </w:p>
    <w:p w14:paraId="77296D89">
      <w:pPr>
        <w:ind w:firstLine="480" w:firstLineChars="200"/>
        <w:rPr>
          <w:rFonts w:ascii="宋体" w:hAnsi="宋体"/>
          <w:sz w:val="24"/>
        </w:rPr>
      </w:pPr>
      <w:r>
        <w:rPr>
          <w:rFonts w:ascii="宋体" w:hAnsi="宋体"/>
          <w:sz w:val="24"/>
        </w:rPr>
        <w:t>7.</w:t>
      </w:r>
      <w:r>
        <w:rPr>
          <w:rFonts w:hint="eastAsia" w:ascii="宋体" w:hAnsi="宋体"/>
          <w:sz w:val="24"/>
        </w:rPr>
        <w:t>2</w:t>
      </w:r>
      <w:r>
        <w:rPr>
          <w:rFonts w:ascii="宋体" w:hAnsi="宋体"/>
          <w:sz w:val="24"/>
        </w:rPr>
        <w:t xml:space="preserve">. </w:t>
      </w:r>
      <w:r>
        <w:rPr>
          <w:rFonts w:hint="eastAsia" w:ascii="宋体" w:hAnsi="宋体"/>
          <w:sz w:val="24"/>
        </w:rPr>
        <w:t>根据展会展位退（减）约束机制，在展位费汇款到账之日（不含）起五个工作日内提出退（减）展位的，将相应给予退款；超过上述规定时限提出退（减）展位的，将不予退款。</w:t>
      </w:r>
      <w:r>
        <w:rPr>
          <w:rFonts w:hint="eastAsia" w:ascii="宋体" w:hAnsi="宋体"/>
          <w:b/>
          <w:bCs/>
          <w:sz w:val="24"/>
        </w:rPr>
        <w:t>注：展会正式开始前15日内，不接受退（减）展位申请。</w:t>
      </w:r>
    </w:p>
    <w:p w14:paraId="2C824ADF">
      <w:pPr>
        <w:ind w:firstLine="480" w:firstLineChars="200"/>
        <w:rPr>
          <w:rFonts w:ascii="宋体" w:hAnsi="宋体"/>
          <w:sz w:val="24"/>
        </w:rPr>
      </w:pPr>
      <w:r>
        <w:rPr>
          <w:rFonts w:ascii="宋体" w:hAnsi="宋体"/>
          <w:sz w:val="24"/>
        </w:rPr>
        <w:t>7.</w:t>
      </w:r>
      <w:r>
        <w:rPr>
          <w:rFonts w:hint="eastAsia" w:ascii="宋体" w:hAnsi="宋体"/>
          <w:sz w:val="24"/>
        </w:rPr>
        <w:t>3</w:t>
      </w:r>
      <w:r>
        <w:rPr>
          <w:rFonts w:ascii="宋体" w:hAnsi="宋体"/>
          <w:sz w:val="24"/>
        </w:rPr>
        <w:t>.如</w:t>
      </w:r>
      <w:r>
        <w:rPr>
          <w:rFonts w:hint="eastAsia" w:ascii="宋体" w:hAnsi="宋体"/>
          <w:sz w:val="24"/>
        </w:rPr>
        <w:t>参展商</w:t>
      </w:r>
      <w:r>
        <w:rPr>
          <w:rFonts w:ascii="宋体" w:hAnsi="宋体"/>
          <w:sz w:val="24"/>
        </w:rPr>
        <w:t>未</w:t>
      </w:r>
      <w:r>
        <w:rPr>
          <w:rFonts w:hint="eastAsia" w:ascii="宋体" w:hAnsi="宋体"/>
          <w:sz w:val="24"/>
        </w:rPr>
        <w:t>能按期付款，主办单位有权终止合同或以其他方式处置展位，同时适用本须知的第8</w:t>
      </w:r>
      <w:r>
        <w:rPr>
          <w:rFonts w:ascii="宋体" w:hAnsi="宋体"/>
          <w:sz w:val="24"/>
        </w:rPr>
        <w:t>条。</w:t>
      </w:r>
    </w:p>
    <w:p w14:paraId="30BFD850">
      <w:pPr>
        <w:ind w:firstLine="482" w:firstLineChars="200"/>
        <w:rPr>
          <w:rFonts w:ascii="宋体" w:hAnsi="宋体"/>
          <w:b/>
          <w:bCs/>
          <w:sz w:val="24"/>
        </w:rPr>
      </w:pPr>
      <w:r>
        <w:rPr>
          <w:rFonts w:hint="eastAsia" w:ascii="宋体" w:hAnsi="宋体"/>
          <w:b/>
          <w:bCs/>
          <w:sz w:val="24"/>
        </w:rPr>
        <w:t>8</w:t>
      </w:r>
      <w:r>
        <w:rPr>
          <w:rFonts w:ascii="宋体" w:hAnsi="宋体"/>
          <w:b/>
          <w:bCs/>
          <w:sz w:val="24"/>
        </w:rPr>
        <w:t>. 参展终止</w:t>
      </w:r>
    </w:p>
    <w:p w14:paraId="07882DC4">
      <w:pPr>
        <w:ind w:firstLine="480" w:firstLineChars="200"/>
        <w:rPr>
          <w:rFonts w:ascii="宋体" w:hAnsi="宋体"/>
          <w:sz w:val="24"/>
        </w:rPr>
      </w:pPr>
      <w:r>
        <w:rPr>
          <w:rFonts w:hint="eastAsia" w:ascii="宋体" w:hAnsi="宋体"/>
          <w:sz w:val="24"/>
        </w:rPr>
        <w:t>如有以下情况，主办单位有权在不事先通知的前提终止参展商参展的权利：</w:t>
      </w:r>
    </w:p>
    <w:p w14:paraId="55E69DEC">
      <w:pPr>
        <w:ind w:firstLine="480" w:firstLineChars="200"/>
        <w:rPr>
          <w:rFonts w:hint="eastAsia" w:ascii="宋体" w:hAnsi="宋体"/>
          <w:sz w:val="24"/>
          <w:highlight w:val="yellow"/>
        </w:rPr>
      </w:pPr>
      <w:r>
        <w:rPr>
          <w:rFonts w:hint="eastAsia" w:ascii="宋体" w:hAnsi="宋体"/>
          <w:sz w:val="24"/>
        </w:rPr>
        <w:t>8</w:t>
      </w:r>
      <w:r>
        <w:rPr>
          <w:rFonts w:ascii="宋体" w:hAnsi="宋体"/>
          <w:sz w:val="24"/>
        </w:rPr>
        <w:t>.1. 参展商或其代表违反了本文中的任何一条规定；</w:t>
      </w:r>
    </w:p>
    <w:p w14:paraId="4E3B7578">
      <w:pPr>
        <w:ind w:firstLine="480" w:firstLineChars="200"/>
        <w:rPr>
          <w:rFonts w:ascii="宋体" w:hAnsi="宋体"/>
          <w:sz w:val="24"/>
        </w:rPr>
      </w:pPr>
      <w:r>
        <w:rPr>
          <w:rFonts w:hint="eastAsia" w:ascii="宋体" w:hAnsi="宋体"/>
          <w:sz w:val="24"/>
        </w:rPr>
        <w:t>8</w:t>
      </w:r>
      <w:r>
        <w:rPr>
          <w:rFonts w:ascii="宋体" w:hAnsi="宋体"/>
          <w:sz w:val="24"/>
        </w:rPr>
        <w:t>.2. 参展商作为法人实体被强制成自愿或两者兼而</w:t>
      </w:r>
      <w:r>
        <w:rPr>
          <w:rFonts w:hint="eastAsia" w:ascii="宋体" w:hAnsi="宋体"/>
          <w:sz w:val="24"/>
        </w:rPr>
        <w:t>有之地与其债权人进入清算程序，或其全部或部分资产由破产案产业管理人接管由于债务问题引起类似情况，或者参展商作为私有企业可合作企业，其或其某一成员单位破产或资不抵债或与其债权人进入清算程序或由于债务问题引起类似情况；</w:t>
      </w:r>
    </w:p>
    <w:p w14:paraId="0463E6C0">
      <w:pPr>
        <w:ind w:firstLine="480" w:firstLineChars="200"/>
        <w:rPr>
          <w:rFonts w:ascii="宋体" w:hAnsi="宋体"/>
          <w:sz w:val="24"/>
        </w:rPr>
      </w:pPr>
      <w:r>
        <w:rPr>
          <w:rFonts w:hint="eastAsia" w:ascii="宋体" w:hAnsi="宋体"/>
          <w:sz w:val="24"/>
        </w:rPr>
        <w:t>8</w:t>
      </w:r>
      <w:r>
        <w:rPr>
          <w:rFonts w:ascii="宋体" w:hAnsi="宋体"/>
          <w:sz w:val="24"/>
        </w:rPr>
        <w:t>.3. 参展商进行的活动在主办单位看来不符合展览</w:t>
      </w:r>
      <w:r>
        <w:rPr>
          <w:rFonts w:hint="eastAsia" w:ascii="宋体" w:hAnsi="宋体"/>
          <w:sz w:val="24"/>
        </w:rPr>
        <w:t>会的性质或目的，或侵犯了其他参展商的权利；</w:t>
      </w:r>
    </w:p>
    <w:p w14:paraId="57961DC2">
      <w:pPr>
        <w:ind w:firstLine="480" w:firstLineChars="200"/>
        <w:rPr>
          <w:rFonts w:ascii="宋体" w:hAnsi="宋体"/>
          <w:sz w:val="24"/>
        </w:rPr>
      </w:pPr>
      <w:r>
        <w:rPr>
          <w:rFonts w:hint="eastAsia" w:ascii="宋体" w:hAnsi="宋体"/>
          <w:sz w:val="24"/>
        </w:rPr>
        <w:t>8</w:t>
      </w:r>
      <w:r>
        <w:rPr>
          <w:rFonts w:ascii="宋体" w:hAnsi="宋体"/>
          <w:sz w:val="24"/>
        </w:rPr>
        <w:t>.4. 参展商违反了展区内禁止贴示价格、禁止向私</w:t>
      </w:r>
      <w:r>
        <w:rPr>
          <w:rFonts w:hint="eastAsia" w:ascii="宋体" w:hAnsi="宋体"/>
          <w:sz w:val="24"/>
        </w:rPr>
        <w:t>人出售货物和禁止在展馆内以即时交货方式出售货物的规定，主办单位有权立即关闭其展位；</w:t>
      </w:r>
    </w:p>
    <w:p w14:paraId="74A90741">
      <w:pPr>
        <w:ind w:firstLine="480" w:firstLineChars="200"/>
        <w:rPr>
          <w:rFonts w:ascii="宋体" w:hAnsi="宋体"/>
          <w:sz w:val="24"/>
        </w:rPr>
      </w:pPr>
      <w:r>
        <w:rPr>
          <w:rFonts w:hint="eastAsia" w:ascii="宋体" w:hAnsi="宋体"/>
          <w:sz w:val="24"/>
        </w:rPr>
        <w:t>8</w:t>
      </w:r>
      <w:r>
        <w:rPr>
          <w:rFonts w:ascii="宋体" w:hAnsi="宋体"/>
          <w:sz w:val="24"/>
        </w:rPr>
        <w:t>.5. 参展商在展览会</w:t>
      </w:r>
      <w:r>
        <w:rPr>
          <w:rFonts w:hint="eastAsia" w:ascii="宋体" w:hAnsi="宋体"/>
          <w:sz w:val="24"/>
        </w:rPr>
        <w:t>开展期间连续三天都</w:t>
      </w:r>
      <w:r>
        <w:rPr>
          <w:rFonts w:ascii="宋体" w:hAnsi="宋体"/>
          <w:sz w:val="24"/>
        </w:rPr>
        <w:t>不进入</w:t>
      </w:r>
      <w:r>
        <w:rPr>
          <w:rFonts w:hint="eastAsia" w:ascii="宋体" w:hAnsi="宋体"/>
          <w:sz w:val="24"/>
        </w:rPr>
        <w:t>展区，则视为其已取消所预订的展位，主办单位有权以合适的方式使用该展位，此种情况被视为参展商自愿取消参展，参展费用概不退还且取消下一届展会参展资格；</w:t>
      </w:r>
    </w:p>
    <w:p w14:paraId="3648ECE9">
      <w:pPr>
        <w:ind w:firstLine="480" w:firstLineChars="200"/>
        <w:rPr>
          <w:rFonts w:ascii="宋体" w:hAnsi="宋体"/>
          <w:sz w:val="24"/>
        </w:rPr>
      </w:pPr>
      <w:r>
        <w:rPr>
          <w:rFonts w:hint="eastAsia" w:ascii="宋体" w:hAnsi="宋体"/>
          <w:sz w:val="24"/>
        </w:rPr>
        <w:t>8.6  参展商违反有关疫情防控规定和要求，不符合健康参展条件的；</w:t>
      </w:r>
    </w:p>
    <w:p w14:paraId="2976F470">
      <w:pPr>
        <w:ind w:firstLine="480" w:firstLineChars="20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7</w:t>
      </w:r>
      <w:r>
        <w:rPr>
          <w:rFonts w:ascii="宋体" w:hAnsi="宋体"/>
          <w:sz w:val="24"/>
        </w:rPr>
        <w:t xml:space="preserve"> </w:t>
      </w:r>
      <w:r>
        <w:rPr>
          <w:rFonts w:hint="eastAsia" w:ascii="宋体" w:hAnsi="宋体"/>
          <w:sz w:val="24"/>
        </w:rPr>
        <w:t xml:space="preserve"> </w:t>
      </w:r>
      <w:r>
        <w:rPr>
          <w:rFonts w:ascii="宋体" w:hAnsi="宋体"/>
          <w:sz w:val="24"/>
        </w:rPr>
        <w:t>主办单位凭借其唯一和绝对的判断力，认为应该</w:t>
      </w:r>
      <w:r>
        <w:rPr>
          <w:rFonts w:hint="eastAsia" w:ascii="宋体" w:hAnsi="宋体"/>
          <w:sz w:val="24"/>
        </w:rPr>
        <w:t>终止参展商的参展权。</w:t>
      </w:r>
    </w:p>
    <w:p w14:paraId="0344E309">
      <w:pPr>
        <w:ind w:firstLine="482" w:firstLineChars="200"/>
        <w:rPr>
          <w:rFonts w:ascii="宋体" w:hAnsi="宋体"/>
          <w:b/>
          <w:bCs/>
          <w:sz w:val="24"/>
        </w:rPr>
      </w:pPr>
      <w:r>
        <w:rPr>
          <w:rFonts w:hint="eastAsia" w:ascii="宋体" w:hAnsi="宋体"/>
          <w:b/>
          <w:bCs/>
          <w:sz w:val="24"/>
        </w:rPr>
        <w:t>9</w:t>
      </w:r>
      <w:r>
        <w:rPr>
          <w:rFonts w:ascii="宋体" w:hAnsi="宋体"/>
          <w:b/>
          <w:bCs/>
          <w:sz w:val="24"/>
        </w:rPr>
        <w:t>. 展品</w:t>
      </w:r>
    </w:p>
    <w:p w14:paraId="31B292F1">
      <w:pPr>
        <w:ind w:firstLine="480" w:firstLineChars="200"/>
        <w:rPr>
          <w:rFonts w:ascii="宋体" w:hAnsi="宋体"/>
          <w:sz w:val="24"/>
        </w:rPr>
      </w:pPr>
      <w:r>
        <w:rPr>
          <w:rFonts w:hint="eastAsia" w:ascii="宋体" w:hAnsi="宋体"/>
          <w:sz w:val="24"/>
        </w:rPr>
        <w:t>任何易燃、带有剌激性气味或展示时有噪音产生的展品必须经过主办单位的书面同意和批准才能展出，大型展品在展览期间不得撤出。展品的操作和展示必须在规定标准的容许范围内进行。</w:t>
      </w:r>
    </w:p>
    <w:p w14:paraId="132569AC">
      <w:pPr>
        <w:ind w:firstLine="482" w:firstLineChars="200"/>
        <w:rPr>
          <w:rFonts w:ascii="宋体" w:hAnsi="宋体"/>
          <w:b/>
          <w:bCs/>
          <w:sz w:val="24"/>
        </w:rPr>
      </w:pPr>
      <w:r>
        <w:rPr>
          <w:rFonts w:ascii="宋体" w:hAnsi="宋体"/>
          <w:b/>
          <w:bCs/>
          <w:sz w:val="24"/>
        </w:rPr>
        <w:t>1</w:t>
      </w:r>
      <w:r>
        <w:rPr>
          <w:rFonts w:hint="eastAsia" w:ascii="宋体" w:hAnsi="宋体"/>
          <w:b/>
          <w:bCs/>
          <w:sz w:val="24"/>
        </w:rPr>
        <w:t>0</w:t>
      </w:r>
      <w:r>
        <w:rPr>
          <w:rFonts w:ascii="宋体" w:hAnsi="宋体"/>
          <w:b/>
          <w:bCs/>
          <w:sz w:val="24"/>
        </w:rPr>
        <w:t>. 场地使用和安全</w:t>
      </w:r>
    </w:p>
    <w:p w14:paraId="46157BB1">
      <w:pPr>
        <w:ind w:firstLine="480" w:firstLineChars="200"/>
        <w:rPr>
          <w:rFonts w:ascii="宋体" w:hAnsi="宋体"/>
          <w:sz w:val="24"/>
        </w:rPr>
      </w:pPr>
      <w:r>
        <w:rPr>
          <w:rFonts w:ascii="宋体" w:hAnsi="宋体"/>
          <w:sz w:val="24"/>
        </w:rPr>
        <w:t>1</w:t>
      </w:r>
      <w:r>
        <w:rPr>
          <w:rFonts w:hint="eastAsia" w:ascii="宋体" w:hAnsi="宋体"/>
          <w:sz w:val="24"/>
        </w:rPr>
        <w:t>0</w:t>
      </w:r>
      <w:r>
        <w:rPr>
          <w:rFonts w:ascii="宋体" w:hAnsi="宋体"/>
          <w:sz w:val="24"/>
        </w:rPr>
        <w:t xml:space="preserve">.1. </w:t>
      </w:r>
      <w:r>
        <w:rPr>
          <w:rFonts w:hint="eastAsia" w:ascii="宋体" w:hAnsi="宋体"/>
          <w:sz w:val="24"/>
        </w:rPr>
        <w:t>展台结构必须设计合理，保证搭建牢固、安全，搭建材料必须符合消电检要求。</w:t>
      </w:r>
    </w:p>
    <w:p w14:paraId="0C96CDF2">
      <w:pPr>
        <w:ind w:firstLine="480" w:firstLineChars="200"/>
        <w:rPr>
          <w:rFonts w:ascii="宋体" w:hAnsi="宋体"/>
          <w:sz w:val="24"/>
        </w:rPr>
      </w:pPr>
      <w:r>
        <w:rPr>
          <w:rFonts w:hint="eastAsia" w:ascii="宋体" w:hAnsi="宋体"/>
          <w:sz w:val="24"/>
        </w:rPr>
        <w:t xml:space="preserve">10.2. </w:t>
      </w:r>
      <w:r>
        <w:rPr>
          <w:rFonts w:ascii="宋体" w:hAnsi="宋体"/>
          <w:sz w:val="24"/>
        </w:rPr>
        <w:t>在展示移动</w:t>
      </w:r>
      <w:r>
        <w:rPr>
          <w:rFonts w:hint="eastAsia" w:ascii="宋体" w:hAnsi="宋体"/>
          <w:sz w:val="24"/>
        </w:rPr>
        <w:t>、</w:t>
      </w:r>
      <w:r>
        <w:rPr>
          <w:rFonts w:ascii="宋体" w:hAnsi="宋体"/>
          <w:sz w:val="24"/>
        </w:rPr>
        <w:t>运转</w:t>
      </w:r>
      <w:r>
        <w:rPr>
          <w:rFonts w:hint="eastAsia" w:ascii="宋体" w:hAnsi="宋体"/>
          <w:sz w:val="24"/>
        </w:rPr>
        <w:t>或超过核定功率</w:t>
      </w:r>
      <w:r>
        <w:rPr>
          <w:rFonts w:ascii="宋体" w:hAnsi="宋体"/>
          <w:sz w:val="24"/>
        </w:rPr>
        <w:t>的展品时必须安排保安人</w:t>
      </w:r>
      <w:r>
        <w:rPr>
          <w:rFonts w:hint="eastAsia" w:ascii="宋体" w:hAnsi="宋体"/>
          <w:sz w:val="24"/>
        </w:rPr>
        <w:t>员或采取其他安全保护措施，以保证参观者的人身安全。本条所述展品的展示或操作必须由参展商授权的工作人员进行；此类展品不得在被授权工作人员缺席的情况下运转和操作。此类展品的展示必须事先获得主办单位书面许可。</w:t>
      </w:r>
    </w:p>
    <w:p w14:paraId="5F18910A">
      <w:pPr>
        <w:ind w:firstLine="480" w:firstLineChars="200"/>
        <w:rPr>
          <w:rFonts w:ascii="宋体" w:hAnsi="宋体"/>
          <w:sz w:val="24"/>
        </w:rPr>
      </w:pPr>
      <w:r>
        <w:rPr>
          <w:rFonts w:ascii="宋体" w:hAnsi="宋体"/>
          <w:sz w:val="24"/>
        </w:rPr>
        <w:t>1</w:t>
      </w:r>
      <w:r>
        <w:rPr>
          <w:rFonts w:hint="eastAsia" w:ascii="宋体" w:hAnsi="宋体"/>
          <w:sz w:val="24"/>
        </w:rPr>
        <w:t>0</w:t>
      </w:r>
      <w:r>
        <w:rPr>
          <w:rFonts w:ascii="宋体" w:hAnsi="宋体"/>
          <w:sz w:val="24"/>
        </w:rPr>
        <w:t>.</w:t>
      </w:r>
      <w:r>
        <w:rPr>
          <w:rFonts w:hint="eastAsia" w:ascii="宋体" w:hAnsi="宋体"/>
          <w:sz w:val="24"/>
        </w:rPr>
        <w:t>3</w:t>
      </w:r>
      <w:r>
        <w:rPr>
          <w:rFonts w:ascii="宋体" w:hAnsi="宋体"/>
          <w:sz w:val="24"/>
        </w:rPr>
        <w:t>. 任何音乐表演包括</w:t>
      </w:r>
      <w:r>
        <w:rPr>
          <w:rFonts w:hint="eastAsia" w:ascii="宋体" w:hAnsi="宋体"/>
          <w:sz w:val="24"/>
        </w:rPr>
        <w:t>发布活动</w:t>
      </w:r>
      <w:r>
        <w:rPr>
          <w:rFonts w:ascii="宋体" w:hAnsi="宋体"/>
          <w:sz w:val="24"/>
        </w:rPr>
        <w:t>所使用的</w:t>
      </w:r>
      <w:r>
        <w:rPr>
          <w:rFonts w:hint="eastAsia" w:ascii="宋体" w:hAnsi="宋体"/>
          <w:sz w:val="24"/>
        </w:rPr>
        <w:t>音频视频资料必须事先征得主办单位和相关部门的同意。</w:t>
      </w:r>
    </w:p>
    <w:p w14:paraId="3CADB438">
      <w:pPr>
        <w:ind w:firstLine="480" w:firstLineChars="200"/>
        <w:rPr>
          <w:rFonts w:ascii="宋体" w:hAnsi="宋体"/>
          <w:sz w:val="24"/>
        </w:rPr>
      </w:pPr>
      <w:r>
        <w:rPr>
          <w:rFonts w:ascii="宋体" w:hAnsi="宋体"/>
          <w:sz w:val="24"/>
        </w:rPr>
        <w:t>1</w:t>
      </w:r>
      <w:r>
        <w:rPr>
          <w:rFonts w:hint="eastAsia" w:ascii="宋体" w:hAnsi="宋体"/>
          <w:sz w:val="24"/>
        </w:rPr>
        <w:t>0</w:t>
      </w:r>
      <w:r>
        <w:rPr>
          <w:rFonts w:ascii="宋体" w:hAnsi="宋体"/>
          <w:sz w:val="24"/>
        </w:rPr>
        <w:t>.</w:t>
      </w:r>
      <w:r>
        <w:rPr>
          <w:rFonts w:hint="eastAsia" w:ascii="宋体" w:hAnsi="宋体"/>
          <w:sz w:val="24"/>
        </w:rPr>
        <w:t>4</w:t>
      </w:r>
      <w:r>
        <w:rPr>
          <w:rFonts w:ascii="宋体" w:hAnsi="宋体"/>
          <w:sz w:val="24"/>
        </w:rPr>
        <w:t>. 参展商只能在自己的展台</w:t>
      </w:r>
      <w:r>
        <w:rPr>
          <w:rFonts w:hint="eastAsia" w:ascii="宋体" w:hAnsi="宋体"/>
          <w:sz w:val="24"/>
        </w:rPr>
        <w:t>内</w:t>
      </w:r>
      <w:r>
        <w:rPr>
          <w:rFonts w:ascii="宋体" w:hAnsi="宋体"/>
          <w:sz w:val="24"/>
        </w:rPr>
        <w:t>分发宣传资</w:t>
      </w:r>
      <w:r>
        <w:rPr>
          <w:rFonts w:hint="eastAsia" w:ascii="宋体" w:hAnsi="宋体"/>
          <w:sz w:val="24"/>
        </w:rPr>
        <w:t>料。不准在展馆其它地方作广告宣传、商品展示或者招揽生意。参展商在自己的展台外不得放置任何展品或广告牌。</w:t>
      </w:r>
    </w:p>
    <w:p w14:paraId="2BEC1D24">
      <w:pPr>
        <w:ind w:firstLine="480" w:firstLineChars="200"/>
        <w:rPr>
          <w:rFonts w:ascii="宋体" w:hAnsi="宋体"/>
          <w:sz w:val="24"/>
        </w:rPr>
      </w:pPr>
      <w:r>
        <w:rPr>
          <w:rFonts w:ascii="宋体" w:hAnsi="宋体"/>
          <w:sz w:val="24"/>
        </w:rPr>
        <w:t>1</w:t>
      </w:r>
      <w:r>
        <w:rPr>
          <w:rFonts w:hint="eastAsia" w:ascii="宋体" w:hAnsi="宋体"/>
          <w:sz w:val="24"/>
        </w:rPr>
        <w:t>0</w:t>
      </w:r>
      <w:r>
        <w:rPr>
          <w:rFonts w:ascii="宋体" w:hAnsi="宋体"/>
          <w:sz w:val="24"/>
        </w:rPr>
        <w:t>.</w:t>
      </w:r>
      <w:r>
        <w:rPr>
          <w:rFonts w:hint="eastAsia" w:ascii="宋体" w:hAnsi="宋体"/>
          <w:sz w:val="24"/>
        </w:rPr>
        <w:t>5</w:t>
      </w:r>
      <w:r>
        <w:rPr>
          <w:rFonts w:ascii="宋体" w:hAnsi="宋体"/>
          <w:sz w:val="24"/>
        </w:rPr>
        <w:t>. 不准在楣板上张贴或悬挂任何胶贴物、海报、</w:t>
      </w:r>
      <w:r>
        <w:rPr>
          <w:rFonts w:hint="eastAsia" w:ascii="宋体" w:hAnsi="宋体"/>
          <w:sz w:val="24"/>
        </w:rPr>
        <w:t>广告牌或其他材料。</w:t>
      </w:r>
    </w:p>
    <w:p w14:paraId="0E7D1874">
      <w:pPr>
        <w:ind w:firstLine="480" w:firstLineChars="200"/>
        <w:rPr>
          <w:rFonts w:ascii="宋体" w:hAnsi="宋体"/>
          <w:sz w:val="24"/>
        </w:rPr>
      </w:pPr>
      <w:r>
        <w:rPr>
          <w:rFonts w:ascii="宋体" w:hAnsi="宋体"/>
          <w:sz w:val="24"/>
        </w:rPr>
        <w:t>1</w:t>
      </w:r>
      <w:r>
        <w:rPr>
          <w:rFonts w:hint="eastAsia" w:ascii="宋体" w:hAnsi="宋体"/>
          <w:sz w:val="24"/>
        </w:rPr>
        <w:t>0</w:t>
      </w:r>
      <w:r>
        <w:rPr>
          <w:rFonts w:ascii="宋体" w:hAnsi="宋体"/>
          <w:sz w:val="24"/>
        </w:rPr>
        <w:t>.</w:t>
      </w:r>
      <w:r>
        <w:rPr>
          <w:rFonts w:hint="eastAsia" w:ascii="宋体" w:hAnsi="宋体"/>
          <w:sz w:val="24"/>
        </w:rPr>
        <w:t>6</w:t>
      </w:r>
      <w:r>
        <w:rPr>
          <w:rFonts w:ascii="宋体" w:hAnsi="宋体"/>
          <w:sz w:val="24"/>
        </w:rPr>
        <w:t xml:space="preserve">. </w:t>
      </w:r>
      <w:r>
        <w:rPr>
          <w:rFonts w:hint="eastAsia" w:ascii="宋体" w:hAnsi="宋体"/>
          <w:sz w:val="24"/>
        </w:rPr>
        <w:t>严禁在场馆内吸烟，</w:t>
      </w:r>
      <w:r>
        <w:rPr>
          <w:rFonts w:ascii="宋体" w:hAnsi="宋体"/>
          <w:sz w:val="24"/>
        </w:rPr>
        <w:t>不得在展馆内使用充气气球。</w:t>
      </w:r>
    </w:p>
    <w:p w14:paraId="18D2FC7B">
      <w:pPr>
        <w:ind w:firstLine="480" w:firstLineChars="200"/>
        <w:rPr>
          <w:rFonts w:ascii="宋体" w:hAnsi="宋体"/>
          <w:sz w:val="24"/>
        </w:rPr>
      </w:pPr>
      <w:r>
        <w:rPr>
          <w:rFonts w:hint="eastAsia" w:ascii="宋体" w:hAnsi="宋体"/>
          <w:sz w:val="24"/>
        </w:rPr>
        <w:t>10.7</w:t>
      </w:r>
      <w:r>
        <w:rPr>
          <w:rFonts w:hint="eastAsia" w:ascii="宋体" w:hAnsi="宋体"/>
          <w:sz w:val="24"/>
          <w:lang w:val="en-US" w:eastAsia="zh-CN"/>
        </w:rPr>
        <w:t>.</w:t>
      </w:r>
      <w:r>
        <w:rPr>
          <w:rFonts w:hint="eastAsia" w:ascii="宋体" w:hAnsi="宋体"/>
          <w:sz w:val="24"/>
        </w:rPr>
        <w:t xml:space="preserve"> 不得违反疫情防控有关要求。</w:t>
      </w:r>
    </w:p>
    <w:p w14:paraId="36CE8D8D">
      <w:pPr>
        <w:ind w:firstLine="482" w:firstLineChars="200"/>
        <w:rPr>
          <w:rFonts w:ascii="宋体" w:hAnsi="宋体"/>
          <w:b/>
          <w:bCs/>
          <w:sz w:val="24"/>
        </w:rPr>
      </w:pPr>
      <w:r>
        <w:rPr>
          <w:rFonts w:ascii="宋体" w:hAnsi="宋体"/>
          <w:b/>
          <w:bCs/>
          <w:sz w:val="24"/>
        </w:rPr>
        <w:t>1</w:t>
      </w:r>
      <w:r>
        <w:rPr>
          <w:rFonts w:hint="eastAsia" w:ascii="宋体" w:hAnsi="宋体"/>
          <w:b/>
          <w:bCs/>
          <w:sz w:val="24"/>
        </w:rPr>
        <w:t>1</w:t>
      </w:r>
      <w:r>
        <w:rPr>
          <w:rFonts w:ascii="宋体" w:hAnsi="宋体"/>
          <w:b/>
          <w:bCs/>
          <w:sz w:val="24"/>
        </w:rPr>
        <w:t>. 责任免除</w:t>
      </w:r>
    </w:p>
    <w:p w14:paraId="11EF8DAE">
      <w:pPr>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.1. 主办单位的任何一方及其代理商、代表、承包</w:t>
      </w:r>
      <w:r>
        <w:rPr>
          <w:rFonts w:hint="eastAsia" w:ascii="宋体" w:hAnsi="宋体"/>
          <w:sz w:val="24"/>
        </w:rPr>
        <w:t>商或雇员将不以任何形式对任何损失或伤害负责，除非是由于主办单位或其雇员的疏忽而给予参展商及其代表、雇员、承包商或代理商所造成的死亡人身伤害，或给参展商其他有关方，或其他参展商或参观者的产品或其他财产造成的损失或伤害。</w:t>
      </w:r>
    </w:p>
    <w:p w14:paraId="701A0FBA">
      <w:pPr>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.2. 主办单位将不以任何形式为在此展览会上或</w:t>
      </w:r>
      <w:r>
        <w:rPr>
          <w:rFonts w:hint="eastAsia" w:ascii="宋体" w:hAnsi="宋体"/>
          <w:sz w:val="24"/>
        </w:rPr>
        <w:t>在此展览期间进行的任何介绍或达成的商业交易的后果负责。</w:t>
      </w:r>
    </w:p>
    <w:p w14:paraId="29D07C72">
      <w:pPr>
        <w:ind w:firstLine="482" w:firstLineChars="200"/>
        <w:rPr>
          <w:rFonts w:ascii="宋体" w:hAnsi="宋体"/>
          <w:b/>
          <w:bCs/>
          <w:sz w:val="24"/>
        </w:rPr>
      </w:pPr>
      <w:r>
        <w:rPr>
          <w:rFonts w:ascii="宋体" w:hAnsi="宋体"/>
          <w:b/>
          <w:bCs/>
          <w:sz w:val="24"/>
        </w:rPr>
        <w:t>1</w:t>
      </w:r>
      <w:r>
        <w:rPr>
          <w:rFonts w:hint="eastAsia" w:ascii="宋体" w:hAnsi="宋体"/>
          <w:b/>
          <w:bCs/>
          <w:sz w:val="24"/>
        </w:rPr>
        <w:t>1</w:t>
      </w:r>
      <w:r>
        <w:rPr>
          <w:rFonts w:ascii="宋体" w:hAnsi="宋体"/>
          <w:b/>
          <w:bCs/>
          <w:sz w:val="24"/>
        </w:rPr>
        <w:t>.</w:t>
      </w:r>
      <w:r>
        <w:rPr>
          <w:rFonts w:hint="eastAsia" w:ascii="宋体" w:hAnsi="宋体"/>
          <w:b/>
          <w:bCs/>
          <w:sz w:val="24"/>
        </w:rPr>
        <w:t>3</w:t>
      </w:r>
      <w:r>
        <w:rPr>
          <w:rFonts w:ascii="宋体" w:hAnsi="宋体"/>
          <w:b/>
          <w:bCs/>
          <w:sz w:val="24"/>
        </w:rPr>
        <w:t>. 参展商将负责为以下事项投保，包括但不限于</w:t>
      </w:r>
      <w:r>
        <w:rPr>
          <w:rFonts w:hint="eastAsia" w:ascii="宋体" w:hAnsi="宋体"/>
          <w:b/>
          <w:bCs/>
          <w:sz w:val="24"/>
        </w:rPr>
        <w:t>为其展示、展品和展位投保盗窃险，火险、公共险（包括展位债务）和其他自然灾害险，并在主办单位要求时，出具保险报单。</w:t>
      </w:r>
    </w:p>
    <w:p w14:paraId="20DF7DA8">
      <w:pPr>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4</w:t>
      </w:r>
      <w:r>
        <w:rPr>
          <w:rFonts w:ascii="宋体" w:hAnsi="宋体"/>
          <w:sz w:val="24"/>
        </w:rPr>
        <w:t>. 参展商应购买保险为一切根据本</w:t>
      </w:r>
      <w:r>
        <w:rPr>
          <w:rFonts w:hint="eastAsia" w:ascii="宋体" w:hAnsi="宋体"/>
          <w:sz w:val="24"/>
        </w:rPr>
        <w:t>须知</w:t>
      </w:r>
      <w:r>
        <w:rPr>
          <w:rFonts w:ascii="宋体" w:hAnsi="宋体"/>
          <w:sz w:val="24"/>
        </w:rPr>
        <w:t>可能承</w:t>
      </w:r>
      <w:r>
        <w:rPr>
          <w:rFonts w:hint="eastAsia" w:ascii="宋体" w:hAnsi="宋体"/>
          <w:sz w:val="24"/>
        </w:rPr>
        <w:t>担的潜在债务以及由于疏忽而导致的可能的法律义务投保，并在主办单位要求时，出具保险的保单，参展商应为参展商及其代表、雇员或代理商的行为或疏忽而导致的任何展区及其他参展商或主办单位所遭受的财务损失或损害负全责。</w:t>
      </w:r>
    </w:p>
    <w:p w14:paraId="1BBD9F02">
      <w:pPr>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w:t>
      </w:r>
      <w:r>
        <w:rPr>
          <w:rFonts w:ascii="宋体" w:hAnsi="宋体"/>
          <w:sz w:val="24"/>
        </w:rPr>
        <w:t>. 主办单位在处理其与本展览相关联的所有财</w:t>
      </w:r>
      <w:r>
        <w:rPr>
          <w:rFonts w:hint="eastAsia" w:ascii="宋体" w:hAnsi="宋体"/>
          <w:sz w:val="24"/>
        </w:rPr>
        <w:t>务问题（包括索赔和损坏）时，保留对展馆内参展商任何财产的留置权。所有发生的损坏必须以书面形式向驻场警方和保险代理商报告（也可通过电话和传真）。如发生火灾、失窃或夜盗事件，须在此类事件发生</w:t>
      </w:r>
      <w:r>
        <w:rPr>
          <w:rFonts w:ascii="宋体" w:hAnsi="宋体"/>
          <w:sz w:val="24"/>
        </w:rPr>
        <w:t xml:space="preserve"> 24 小时之内向展览</w:t>
      </w:r>
      <w:r>
        <w:rPr>
          <w:rFonts w:hint="eastAsia" w:ascii="宋体" w:hAnsi="宋体"/>
          <w:sz w:val="24"/>
        </w:rPr>
        <w:t>会管理人和驻场警方报案。除非参展商或其服务人员的故意或失职，参展商有义务对其展品和</w:t>
      </w:r>
      <w:r>
        <w:rPr>
          <w:rFonts w:ascii="宋体" w:hAnsi="宋体"/>
          <w:sz w:val="24"/>
        </w:rPr>
        <w:t>/或展台设备进</w:t>
      </w:r>
      <w:r>
        <w:rPr>
          <w:rFonts w:hint="eastAsia" w:ascii="宋体" w:hAnsi="宋体"/>
          <w:sz w:val="24"/>
        </w:rPr>
        <w:t>行适当的维护。参展商对由于其参展行为或造成对第三方的所有损失包括建筑地面、展厅和</w:t>
      </w:r>
      <w:r>
        <w:rPr>
          <w:rFonts w:ascii="宋体" w:hAnsi="宋体"/>
          <w:sz w:val="24"/>
        </w:rPr>
        <w:t>/或家具和设备的损坏应负</w:t>
      </w:r>
      <w:r>
        <w:rPr>
          <w:rFonts w:hint="eastAsia" w:ascii="宋体" w:hAnsi="宋体"/>
          <w:sz w:val="24"/>
        </w:rPr>
        <w:t>责任，除非这些损失由当地第三方保险机构承保。</w:t>
      </w:r>
    </w:p>
    <w:p w14:paraId="49EAA8EC">
      <w:pPr>
        <w:ind w:firstLine="482" w:firstLineChars="200"/>
        <w:rPr>
          <w:rFonts w:ascii="宋体" w:hAnsi="宋体"/>
          <w:b/>
          <w:bCs/>
          <w:sz w:val="24"/>
        </w:rPr>
      </w:pPr>
      <w:r>
        <w:rPr>
          <w:rFonts w:ascii="宋体" w:hAnsi="宋体"/>
          <w:b/>
          <w:bCs/>
          <w:sz w:val="24"/>
        </w:rPr>
        <w:t>1</w:t>
      </w:r>
      <w:r>
        <w:rPr>
          <w:rFonts w:hint="eastAsia" w:ascii="宋体" w:hAnsi="宋体"/>
          <w:b/>
          <w:bCs/>
          <w:sz w:val="24"/>
        </w:rPr>
        <w:t>2</w:t>
      </w:r>
      <w:r>
        <w:rPr>
          <w:rFonts w:ascii="宋体" w:hAnsi="宋体"/>
          <w:b/>
          <w:bCs/>
          <w:sz w:val="24"/>
        </w:rPr>
        <w:t>. 通知</w:t>
      </w:r>
    </w:p>
    <w:p w14:paraId="38E3898E">
      <w:pPr>
        <w:ind w:firstLine="480" w:firstLineChars="200"/>
        <w:rPr>
          <w:rFonts w:ascii="宋体" w:hAnsi="宋体"/>
          <w:sz w:val="24"/>
        </w:rPr>
      </w:pPr>
      <w:r>
        <w:rPr>
          <w:rFonts w:hint="eastAsia" w:ascii="宋体" w:hAnsi="宋体"/>
          <w:sz w:val="24"/>
        </w:rPr>
        <w:t>一旦展位分配完毕，参展商将收到邮件通知。</w:t>
      </w:r>
      <w:r>
        <w:rPr>
          <w:rFonts w:ascii="宋体" w:hAnsi="宋体"/>
          <w:sz w:val="24"/>
        </w:rPr>
        <w:t>通知其为</w:t>
      </w:r>
      <w:r>
        <w:rPr>
          <w:rFonts w:hint="eastAsia" w:ascii="宋体" w:hAnsi="宋体"/>
          <w:sz w:val="24"/>
        </w:rPr>
        <w:t>展会进行筹备、安排。任何无视此通知而导致的后果将由参展商自行承担。参展商应遵守展区的规则和规定，这些规则和规定是本须知的组成部分。如果上述规则和规定与本须知条款存在冲突，以本须知为准。展区规则和规定可以向主办单位索取。</w:t>
      </w:r>
    </w:p>
    <w:p w14:paraId="59034F2A">
      <w:pPr>
        <w:ind w:firstLine="482" w:firstLineChars="200"/>
        <w:rPr>
          <w:rFonts w:ascii="宋体" w:hAnsi="宋体"/>
          <w:b/>
          <w:bCs/>
          <w:sz w:val="24"/>
        </w:rPr>
      </w:pPr>
      <w:r>
        <w:rPr>
          <w:rFonts w:ascii="宋体" w:hAnsi="宋体"/>
          <w:b/>
          <w:bCs/>
          <w:sz w:val="24"/>
        </w:rPr>
        <w:t>1</w:t>
      </w:r>
      <w:r>
        <w:rPr>
          <w:rFonts w:hint="eastAsia" w:ascii="宋体" w:hAnsi="宋体"/>
          <w:b/>
          <w:bCs/>
          <w:sz w:val="24"/>
        </w:rPr>
        <w:t>3</w:t>
      </w:r>
      <w:r>
        <w:rPr>
          <w:rFonts w:ascii="宋体" w:hAnsi="宋体"/>
          <w:b/>
          <w:bCs/>
          <w:sz w:val="24"/>
        </w:rPr>
        <w:t>. 展览会取消、延期和其他更改</w:t>
      </w:r>
    </w:p>
    <w:p w14:paraId="37DCDBAC">
      <w:pPr>
        <w:ind w:firstLine="480" w:firstLineChars="200"/>
        <w:rPr>
          <w:rFonts w:ascii="宋体" w:hAnsi="宋体"/>
          <w:sz w:val="24"/>
        </w:rPr>
      </w:pPr>
      <w:r>
        <w:rPr>
          <w:rFonts w:hint="eastAsia" w:ascii="宋体" w:hAnsi="宋体"/>
          <w:sz w:val="24"/>
        </w:rPr>
        <w:t>主办单位保留在发生不可抗力（定义见条款</w:t>
      </w:r>
      <w:r>
        <w:rPr>
          <w:rFonts w:ascii="宋体" w:hAnsi="宋体"/>
          <w:sz w:val="24"/>
        </w:rPr>
        <w:t>14）时，</w:t>
      </w:r>
      <w:r>
        <w:rPr>
          <w:rFonts w:hint="eastAsia" w:ascii="宋体" w:hAnsi="宋体"/>
          <w:sz w:val="24"/>
        </w:rPr>
        <w:t>在任何政府当局下达命令指示时，或在任何未预见情况下随时取消、延迟展览会、更改展览会性质、减小展览会规模、缩短或延长展览会举办的时间的权利。且对参展商不承担任何责任。如果在必要时推迟、缩减、延长、取消或另外更改展览会，参展商无权退出合同或就由此产生的损失或损害向主办单位或其代表提出索赔，或者要求主办单位或其代理或代表退还由其支付的全部或部分参展费用（即使其已放弃所分配展位的权利）。此时应使用参展商条件第8</w:t>
      </w:r>
      <w:r>
        <w:rPr>
          <w:rFonts w:ascii="宋体" w:hAnsi="宋体"/>
          <w:sz w:val="24"/>
        </w:rPr>
        <w:t>条之规定。</w:t>
      </w:r>
    </w:p>
    <w:p w14:paraId="2DC7A58A">
      <w:pPr>
        <w:ind w:firstLine="482" w:firstLineChars="200"/>
        <w:rPr>
          <w:rFonts w:ascii="宋体" w:hAnsi="宋体"/>
          <w:b/>
          <w:bCs/>
          <w:sz w:val="24"/>
        </w:rPr>
      </w:pPr>
      <w:r>
        <w:rPr>
          <w:rFonts w:ascii="宋体" w:hAnsi="宋体"/>
          <w:b/>
          <w:bCs/>
          <w:sz w:val="24"/>
        </w:rPr>
        <w:t>1</w:t>
      </w:r>
      <w:r>
        <w:rPr>
          <w:rFonts w:hint="eastAsia" w:ascii="宋体" w:hAnsi="宋体"/>
          <w:b/>
          <w:bCs/>
          <w:sz w:val="24"/>
        </w:rPr>
        <w:t>4</w:t>
      </w:r>
      <w:r>
        <w:rPr>
          <w:rFonts w:ascii="宋体" w:hAnsi="宋体"/>
          <w:b/>
          <w:bCs/>
          <w:sz w:val="24"/>
        </w:rPr>
        <w:t>. 不可抗力</w:t>
      </w:r>
    </w:p>
    <w:p w14:paraId="06CDF77B">
      <w:pPr>
        <w:ind w:firstLine="480" w:firstLineChars="200"/>
        <w:rPr>
          <w:rFonts w:ascii="宋体" w:hAnsi="宋体"/>
          <w:sz w:val="24"/>
        </w:rPr>
      </w:pPr>
      <w:r>
        <w:rPr>
          <w:rFonts w:hint="eastAsia" w:ascii="宋体" w:hAnsi="宋体"/>
          <w:sz w:val="24"/>
        </w:rPr>
        <w:t>“不可抗力”应指主办单位无法控制、不可预见、不可避免或不能克服且阻止主办方履行合同的所有事件。此类事件应包括地震、台风、洪水、火灾、战争、疫情、社会动荡、政府行为或其他任何不可预见、不可避免或无法控制的事件，包括在通告国际商业惯例中公认的不可抗力事件。</w:t>
      </w:r>
    </w:p>
    <w:p w14:paraId="2DB6F3FC">
      <w:pPr>
        <w:ind w:firstLine="482" w:firstLineChars="200"/>
        <w:rPr>
          <w:rFonts w:ascii="宋体" w:hAnsi="宋体"/>
          <w:b/>
          <w:bCs/>
          <w:sz w:val="24"/>
        </w:rPr>
      </w:pPr>
      <w:r>
        <w:rPr>
          <w:rFonts w:hint="eastAsia" w:ascii="宋体" w:hAnsi="宋体"/>
          <w:b/>
          <w:bCs/>
          <w:sz w:val="24"/>
        </w:rPr>
        <w:t>15. 最终条款</w:t>
      </w:r>
    </w:p>
    <w:p w14:paraId="53856DA7">
      <w:pPr>
        <w:ind w:firstLine="482" w:firstLineChars="200"/>
        <w:jc w:val="left"/>
        <w:rPr>
          <w:rFonts w:hint="eastAsia" w:ascii="宋体" w:hAnsi="宋体"/>
          <w:sz w:val="24"/>
        </w:rPr>
      </w:pPr>
      <w:r>
        <w:rPr>
          <w:rFonts w:hint="eastAsia" w:ascii="宋体" w:hAnsi="宋体"/>
          <w:b/>
          <w:bCs/>
          <w:sz w:val="24"/>
        </w:rPr>
        <w:drawing>
          <wp:anchor distT="0" distB="0" distL="114300" distR="114300" simplePos="0" relativeHeight="251663360" behindDoc="0" locked="0" layoutInCell="1" allowOverlap="1">
            <wp:simplePos x="0" y="0"/>
            <wp:positionH relativeFrom="column">
              <wp:posOffset>3823335</wp:posOffset>
            </wp:positionH>
            <wp:positionV relativeFrom="paragraph">
              <wp:posOffset>273685</wp:posOffset>
            </wp:positionV>
            <wp:extent cx="1600200" cy="1479550"/>
            <wp:effectExtent l="0" t="0" r="0" b="0"/>
            <wp:wrapNone/>
            <wp:docPr id="7" name="图片 7" descr="春季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春季电子章"/>
                    <pic:cNvPicPr>
                      <a:picLocks noChangeAspect="1"/>
                    </pic:cNvPicPr>
                  </pic:nvPicPr>
                  <pic:blipFill>
                    <a:blip r:embed="rId4"/>
                    <a:stretch>
                      <a:fillRect/>
                    </a:stretch>
                  </pic:blipFill>
                  <pic:spPr>
                    <a:xfrm>
                      <a:off x="0" y="0"/>
                      <a:ext cx="1600200" cy="1479550"/>
                    </a:xfrm>
                    <a:prstGeom prst="rect">
                      <a:avLst/>
                    </a:prstGeom>
                  </pic:spPr>
                </pic:pic>
              </a:graphicData>
            </a:graphic>
          </wp:anchor>
        </w:drawing>
      </w:r>
      <w:r>
        <w:rPr>
          <w:rFonts w:hint="eastAsia" w:ascii="宋体" w:hAnsi="宋体"/>
          <w:sz w:val="24"/>
        </w:rPr>
        <w:t>参展商提交展位申请表的同时即默认视为同意遵守此参展须知所有条款。组织者保留解释、变更及修改本须知，并为展会的顺利进行而随时发布补充规则和规定的权利。组织者对本须知和补充规则和规定具有最终解释权。</w:t>
      </w: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3370580</wp:posOffset>
            </wp:positionH>
            <wp:positionV relativeFrom="paragraph">
              <wp:posOffset>6301740</wp:posOffset>
            </wp:positionV>
            <wp:extent cx="1880235" cy="1741170"/>
            <wp:effectExtent l="0" t="0" r="0" b="0"/>
            <wp:wrapNone/>
            <wp:docPr id="5" name="图片 2" descr="IMG_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0665"/>
                    <pic:cNvPicPr>
                      <a:picLocks noChangeAspect="1"/>
                    </pic:cNvPicPr>
                  </pic:nvPicPr>
                  <pic:blipFill>
                    <a:blip r:embed="rId5"/>
                    <a:stretch>
                      <a:fillRect/>
                    </a:stretch>
                  </pic:blipFill>
                  <pic:spPr>
                    <a:xfrm>
                      <a:off x="0" y="0"/>
                      <a:ext cx="1880235" cy="1741170"/>
                    </a:xfrm>
                    <a:prstGeom prst="rect">
                      <a:avLst/>
                    </a:prstGeom>
                    <a:noFill/>
                    <a:ln>
                      <a:noFill/>
                    </a:ln>
                  </pic:spPr>
                </pic:pic>
              </a:graphicData>
            </a:graphic>
          </wp:anchor>
        </w:drawing>
      </w:r>
    </w:p>
    <w:p w14:paraId="4A2FD37F">
      <w:pPr>
        <w:spacing w:line="240" w:lineRule="atLeast"/>
        <w:jc w:val="right"/>
        <w:rPr>
          <w:rFonts w:ascii="宋体" w:hAnsi="宋体"/>
          <w:b/>
          <w:bCs/>
          <w:sz w:val="24"/>
        </w:rPr>
      </w:pPr>
      <w:r>
        <w:rPr>
          <w:rFonts w:hint="eastAsia" w:ascii="宋体" w:hAnsi="宋体"/>
          <w:b/>
          <w:bCs/>
          <w:sz w:val="24"/>
        </w:rPr>
        <w:t>第三</w:t>
      </w: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3728085</wp:posOffset>
            </wp:positionH>
            <wp:positionV relativeFrom="paragraph">
              <wp:posOffset>6124575</wp:posOffset>
            </wp:positionV>
            <wp:extent cx="1600200" cy="1481455"/>
            <wp:effectExtent l="0" t="0" r="0" b="0"/>
            <wp:wrapNone/>
            <wp:docPr id="4" name="图片 2" descr="IMG_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0665"/>
                    <pic:cNvPicPr>
                      <a:picLocks noChangeAspect="1"/>
                    </pic:cNvPicPr>
                  </pic:nvPicPr>
                  <pic:blipFill>
                    <a:blip r:embed="rId5"/>
                    <a:stretch>
                      <a:fillRect/>
                    </a:stretch>
                  </pic:blipFill>
                  <pic:spPr>
                    <a:xfrm>
                      <a:off x="0" y="0"/>
                      <a:ext cx="1600200" cy="1481455"/>
                    </a:xfrm>
                    <a:prstGeom prst="rect">
                      <a:avLst/>
                    </a:prstGeom>
                    <a:noFill/>
                    <a:ln w="9525">
                      <a:noFill/>
                    </a:ln>
                  </pic:spPr>
                </pic:pic>
              </a:graphicData>
            </a:graphic>
          </wp:anchor>
        </w:drawing>
      </w:r>
      <w:r>
        <w:rPr>
          <w:rFonts w:hint="eastAsia" w:ascii="宋体" w:hAnsi="宋体"/>
          <w:b/>
          <w:bCs/>
          <w:sz w:val="24"/>
        </w:rPr>
        <w:t>十</w:t>
      </w: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3370580</wp:posOffset>
            </wp:positionH>
            <wp:positionV relativeFrom="paragraph">
              <wp:posOffset>6301740</wp:posOffset>
            </wp:positionV>
            <wp:extent cx="1880235" cy="1741170"/>
            <wp:effectExtent l="0" t="0" r="0" b="0"/>
            <wp:wrapNone/>
            <wp:docPr id="1" name="图片 2" descr="IMG_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0665"/>
                    <pic:cNvPicPr>
                      <a:picLocks noChangeAspect="1"/>
                    </pic:cNvPicPr>
                  </pic:nvPicPr>
                  <pic:blipFill>
                    <a:blip r:embed="rId5"/>
                    <a:stretch>
                      <a:fillRect/>
                    </a:stretch>
                  </pic:blipFill>
                  <pic:spPr>
                    <a:xfrm>
                      <a:off x="0" y="0"/>
                      <a:ext cx="1880235" cy="1741170"/>
                    </a:xfrm>
                    <a:prstGeom prst="rect">
                      <a:avLst/>
                    </a:prstGeom>
                    <a:noFill/>
                    <a:ln>
                      <a:noFill/>
                    </a:ln>
                  </pic:spPr>
                </pic:pic>
              </a:graphicData>
            </a:graphic>
          </wp:anchor>
        </w:drawing>
      </w:r>
      <w:r>
        <w:rPr>
          <w:rFonts w:hint="eastAsia" w:ascii="宋体" w:hAnsi="宋体"/>
          <w:b/>
          <w:bCs/>
          <w:sz w:val="24"/>
          <w:lang w:val="en-US" w:eastAsia="zh-CN"/>
        </w:rPr>
        <w:t>八</w:t>
      </w:r>
      <w:r>
        <w:rPr>
          <w:rFonts w:hint="eastAsia" w:ascii="宋体" w:hAnsi="宋体"/>
          <w:b/>
          <w:bCs/>
          <w:sz w:val="24"/>
        </w:rPr>
        <w:t>届浙江国际</w:t>
      </w: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3575685</wp:posOffset>
            </wp:positionH>
            <wp:positionV relativeFrom="paragraph">
              <wp:posOffset>5972175</wp:posOffset>
            </wp:positionV>
            <wp:extent cx="1600200" cy="1481455"/>
            <wp:effectExtent l="0" t="0" r="0" b="0"/>
            <wp:wrapNone/>
            <wp:docPr id="3" name="图片 2" descr="IMG_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0665"/>
                    <pic:cNvPicPr>
                      <a:picLocks noChangeAspect="1"/>
                    </pic:cNvPicPr>
                  </pic:nvPicPr>
                  <pic:blipFill>
                    <a:blip r:embed="rId5"/>
                    <a:stretch>
                      <a:fillRect/>
                    </a:stretch>
                  </pic:blipFill>
                  <pic:spPr>
                    <a:xfrm>
                      <a:off x="0" y="0"/>
                      <a:ext cx="1600200" cy="1481455"/>
                    </a:xfrm>
                    <a:prstGeom prst="rect">
                      <a:avLst/>
                    </a:prstGeom>
                    <a:noFill/>
                    <a:ln w="9525">
                      <a:noFill/>
                    </a:ln>
                  </pic:spPr>
                </pic:pic>
              </a:graphicData>
            </a:graphic>
          </wp:anchor>
        </w:drawing>
      </w: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3423285</wp:posOffset>
            </wp:positionH>
            <wp:positionV relativeFrom="paragraph">
              <wp:posOffset>5819775</wp:posOffset>
            </wp:positionV>
            <wp:extent cx="1600200" cy="1481455"/>
            <wp:effectExtent l="0" t="0" r="0" b="0"/>
            <wp:wrapNone/>
            <wp:docPr id="2" name="图片 2" descr="IMG_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665"/>
                    <pic:cNvPicPr>
                      <a:picLocks noChangeAspect="1"/>
                    </pic:cNvPicPr>
                  </pic:nvPicPr>
                  <pic:blipFill>
                    <a:blip r:embed="rId5"/>
                    <a:stretch>
                      <a:fillRect/>
                    </a:stretch>
                  </pic:blipFill>
                  <pic:spPr>
                    <a:xfrm>
                      <a:off x="0" y="0"/>
                      <a:ext cx="1600200" cy="1481455"/>
                    </a:xfrm>
                    <a:prstGeom prst="rect">
                      <a:avLst/>
                    </a:prstGeom>
                    <a:noFill/>
                    <a:ln w="9525">
                      <a:noFill/>
                    </a:ln>
                  </pic:spPr>
                </pic:pic>
              </a:graphicData>
            </a:graphic>
          </wp:anchor>
        </w:drawing>
      </w:r>
      <w:r>
        <w:rPr>
          <w:rFonts w:hint="eastAsia" w:ascii="宋体" w:hAnsi="宋体"/>
          <w:b/>
          <w:bCs/>
          <w:sz w:val="24"/>
        </w:rPr>
        <w:t>科研、医疗仪器设备</w:t>
      </w:r>
    </w:p>
    <w:p w14:paraId="653FBB94">
      <w:pPr>
        <w:spacing w:line="240" w:lineRule="atLeast"/>
        <w:jc w:val="center"/>
        <w:rPr>
          <w:rFonts w:hint="eastAsia" w:ascii="宋体" w:hAnsi="宋体"/>
          <w:b/>
          <w:bCs/>
          <w:sz w:val="24"/>
        </w:rPr>
      </w:pPr>
      <w:r>
        <w:rPr>
          <w:rFonts w:hint="eastAsia" w:ascii="宋体" w:hAnsi="宋体"/>
          <w:b/>
          <w:bCs/>
          <w:sz w:val="24"/>
        </w:rPr>
        <w:t xml:space="preserve">                                           技术交流展览会组委会</w:t>
      </w:r>
    </w:p>
    <w:p w14:paraId="766B413B">
      <w:pPr>
        <w:spacing w:line="240" w:lineRule="atLeast"/>
        <w:jc w:val="center"/>
        <w:rPr>
          <w:rFonts w:ascii="华文中宋" w:hAnsi="华文中宋" w:eastAsia="华文中宋" w:cs="华文中宋"/>
          <w:b/>
          <w:bCs/>
          <w:sz w:val="36"/>
          <w:szCs w:val="36"/>
        </w:rPr>
      </w:pPr>
      <w:r>
        <w:rPr>
          <w:rFonts w:hint="eastAsia" w:ascii="宋体" w:hAnsi="宋体"/>
          <w:b/>
          <w:bCs/>
          <w:sz w:val="24"/>
          <w:lang w:val="en-US" w:eastAsia="zh-CN"/>
        </w:rPr>
        <w:t xml:space="preserve">                                           </w:t>
      </w:r>
      <w:r>
        <w:rPr>
          <w:rFonts w:hint="eastAsia" w:ascii="宋体" w:hAnsi="宋体"/>
          <w:b/>
          <w:bCs/>
          <w:sz w:val="24"/>
        </w:rPr>
        <w:t>202</w:t>
      </w:r>
      <w:r>
        <w:rPr>
          <w:rFonts w:hint="eastAsia" w:ascii="宋体" w:hAnsi="宋体"/>
          <w:b/>
          <w:bCs/>
          <w:sz w:val="24"/>
          <w:lang w:val="en-US" w:eastAsia="zh-CN"/>
        </w:rPr>
        <w:t>5</w:t>
      </w:r>
      <w:r>
        <w:rPr>
          <w:rFonts w:hint="eastAsia" w:ascii="宋体" w:hAnsi="宋体"/>
          <w:b/>
          <w:bCs/>
          <w:sz w:val="24"/>
        </w:rPr>
        <w:t>年1</w:t>
      </w:r>
      <w:r>
        <w:rPr>
          <w:rFonts w:hint="eastAsia" w:ascii="宋体" w:hAnsi="宋体"/>
          <w:b/>
          <w:bCs/>
          <w:sz w:val="24"/>
          <w:lang w:val="en-US" w:eastAsia="zh-CN"/>
        </w:rPr>
        <w:t>1</w:t>
      </w:r>
      <w:r>
        <w:rPr>
          <w:rFonts w:hint="eastAsia" w:ascii="宋体" w:hAnsi="宋体"/>
          <w:b/>
          <w:bCs/>
          <w:sz w:val="24"/>
        </w:rPr>
        <w:t>月</w:t>
      </w:r>
    </w:p>
    <w:p w14:paraId="0DB76E02">
      <w:pPr>
        <w:spacing w:line="44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第三十</w:t>
      </w:r>
      <w:r>
        <w:rPr>
          <w:rFonts w:hint="eastAsia" w:ascii="华文中宋" w:hAnsi="华文中宋" w:eastAsia="华文中宋" w:cs="华文中宋"/>
          <w:b/>
          <w:bCs/>
          <w:sz w:val="36"/>
          <w:szCs w:val="36"/>
          <w:lang w:val="en-US" w:eastAsia="zh-CN"/>
        </w:rPr>
        <w:t>八</w:t>
      </w:r>
      <w:r>
        <w:rPr>
          <w:rFonts w:hint="eastAsia" w:ascii="华文中宋" w:hAnsi="华文中宋" w:eastAsia="华文中宋" w:cs="华文中宋"/>
          <w:b/>
          <w:bCs/>
          <w:sz w:val="36"/>
          <w:szCs w:val="36"/>
        </w:rPr>
        <w:t>届浙江国际科研、医疗仪器设备技术交流展览会</w:t>
      </w:r>
    </w:p>
    <w:p w14:paraId="67AADFF4">
      <w:pPr>
        <w:spacing w:line="44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36"/>
          <w:szCs w:val="36"/>
        </w:rPr>
        <w:t>展位申请表</w:t>
      </w:r>
    </w:p>
    <w:p w14:paraId="2B1E17D9">
      <w:pPr>
        <w:ind w:firstLine="527" w:firstLineChars="250"/>
        <w:rPr>
          <w:rFonts w:asciiTheme="minorEastAsia" w:hAnsiTheme="minorEastAsia" w:eastAsiaTheme="minorEastAsia" w:cstheme="minorEastAsia"/>
          <w:b/>
          <w:szCs w:val="21"/>
        </w:rPr>
      </w:pPr>
    </w:p>
    <w:p w14:paraId="5274ABE4">
      <w:pPr>
        <w:spacing w:line="420" w:lineRule="exact"/>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本单位已认真阅读并充分理解本届展览会《招展公告》与《参展告知书》内容，决定参加于202</w:t>
      </w:r>
      <w:r>
        <w:rPr>
          <w:rFonts w:hint="eastAsia" w:asciiTheme="minorEastAsia" w:hAnsiTheme="minorEastAsia" w:eastAsiaTheme="minorEastAsia" w:cstheme="minorEastAsia"/>
          <w:b/>
          <w:szCs w:val="21"/>
          <w:lang w:val="en-US" w:eastAsia="zh-CN"/>
        </w:rPr>
        <w:t>6</w:t>
      </w:r>
      <w:r>
        <w:rPr>
          <w:rFonts w:hint="eastAsia" w:asciiTheme="minorEastAsia" w:hAnsiTheme="minorEastAsia" w:eastAsiaTheme="minorEastAsia" w:cstheme="minorEastAsia"/>
          <w:b/>
          <w:szCs w:val="21"/>
        </w:rPr>
        <w:t>年3月</w:t>
      </w:r>
      <w:r>
        <w:rPr>
          <w:rFonts w:hint="eastAsia" w:asciiTheme="minorEastAsia" w:hAnsiTheme="minorEastAsia" w:eastAsiaTheme="minorEastAsia" w:cstheme="minorEastAsia"/>
          <w:b/>
          <w:szCs w:val="21"/>
          <w:lang w:val="en-US" w:eastAsia="zh-CN"/>
        </w:rPr>
        <w:t>30</w:t>
      </w:r>
      <w:r>
        <w:rPr>
          <w:rFonts w:hint="eastAsia" w:asciiTheme="minorEastAsia" w:hAnsiTheme="minorEastAsia" w:eastAsiaTheme="minorEastAsia" w:cstheme="minorEastAsia"/>
          <w:b/>
          <w:szCs w:val="21"/>
        </w:rPr>
        <w:t>日至</w:t>
      </w:r>
      <w:r>
        <w:rPr>
          <w:rFonts w:hint="eastAsia" w:asciiTheme="minorEastAsia" w:hAnsiTheme="minorEastAsia" w:eastAsiaTheme="minorEastAsia" w:cstheme="minorEastAsia"/>
          <w:b/>
          <w:szCs w:val="21"/>
          <w:lang w:val="en-US" w:eastAsia="zh-CN"/>
        </w:rPr>
        <w:t>4月2</w:t>
      </w:r>
      <w:r>
        <w:rPr>
          <w:rFonts w:hint="eastAsia" w:asciiTheme="minorEastAsia" w:hAnsiTheme="minorEastAsia" w:eastAsiaTheme="minorEastAsia" w:cstheme="minorEastAsia"/>
          <w:b/>
          <w:szCs w:val="21"/>
        </w:rPr>
        <w:t>日在杭州国际博览中心举办的“第三十</w:t>
      </w:r>
      <w:r>
        <w:rPr>
          <w:rFonts w:hint="eastAsia" w:asciiTheme="minorEastAsia" w:hAnsiTheme="minorEastAsia" w:eastAsiaTheme="minorEastAsia" w:cstheme="minorEastAsia"/>
          <w:b/>
          <w:szCs w:val="21"/>
          <w:lang w:val="en-US" w:eastAsia="zh-CN"/>
        </w:rPr>
        <w:t>八</w:t>
      </w:r>
      <w:r>
        <w:rPr>
          <w:rFonts w:hint="eastAsia" w:asciiTheme="minorEastAsia" w:hAnsiTheme="minorEastAsia" w:eastAsiaTheme="minorEastAsia" w:cstheme="minorEastAsia"/>
          <w:b/>
          <w:szCs w:val="21"/>
        </w:rPr>
        <w:t>届浙江国际科研、医疗仪器设备技术交流展览会”，承诺按规定支付各项展览费用并服从展会组委会统一安排。</w:t>
      </w:r>
    </w:p>
    <w:p w14:paraId="4B469CF7">
      <w:pPr>
        <w:spacing w:line="4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组委会</w:t>
      </w:r>
      <w:r>
        <w:rPr>
          <w:rFonts w:hint="eastAsia" w:asciiTheme="minorEastAsia" w:hAnsiTheme="minorEastAsia" w:eastAsiaTheme="minorEastAsia" w:cstheme="minorEastAsia"/>
          <w:bCs/>
          <w:szCs w:val="21"/>
          <w:lang w:val="en-US" w:eastAsia="zh-CN"/>
        </w:rPr>
        <w:t>联系电话及</w:t>
      </w:r>
      <w:r>
        <w:rPr>
          <w:rFonts w:hint="eastAsia" w:asciiTheme="minorEastAsia" w:hAnsiTheme="minorEastAsia" w:eastAsiaTheme="minorEastAsia" w:cstheme="minorEastAsia"/>
          <w:bCs/>
          <w:szCs w:val="21"/>
        </w:rPr>
        <w:t>邮箱：</w:t>
      </w:r>
      <w:r>
        <w:rPr>
          <w:rFonts w:hint="eastAsia" w:asciiTheme="minorEastAsia" w:hAnsiTheme="minorEastAsia" w:eastAsiaTheme="minorEastAsia" w:cstheme="minorEastAsia"/>
          <w:szCs w:val="21"/>
        </w:rPr>
        <w:t>浙江省医学科技教育发展中心     0571-87709118，3343982208@qq.com</w:t>
      </w:r>
    </w:p>
    <w:p w14:paraId="0012883D">
      <w:pPr>
        <w:spacing w:line="42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highlight w:val="none"/>
        </w:rPr>
        <w:t>浙江省科技交流和人才服务中心   0571-87992081，2652950540@qq.com</w:t>
      </w:r>
      <w:bookmarkStart w:id="0" w:name="_GoBack"/>
      <w:bookmarkEnd w:id="0"/>
    </w:p>
    <w:p w14:paraId="372A50B2">
      <w:pPr>
        <w:spacing w:line="420" w:lineRule="exact"/>
        <w:ind w:firstLine="0" w:firstLineChars="0"/>
        <w:rPr>
          <w:rFonts w:hint="eastAsia" w:ascii="Times New Roman" w:hAnsi="Times New Roman" w:cs="Times New Roman"/>
          <w:bCs/>
          <w:szCs w:val="21"/>
          <w:lang w:val="en-US" w:eastAsia="zh-CN"/>
        </w:rPr>
      </w:pPr>
      <w:r>
        <w:rPr>
          <w:rFonts w:hint="default" w:ascii="Times New Roman" w:hAnsi="Times New Roman" w:cs="Times New Roman"/>
          <w:bCs/>
          <w:szCs w:val="21"/>
        </w:rPr>
        <w:t>展览会官</w:t>
      </w:r>
      <w:r>
        <w:rPr>
          <w:rFonts w:hint="eastAsia" w:ascii="Times New Roman" w:hAnsi="Times New Roman" w:cs="Times New Roman"/>
          <w:bCs/>
          <w:szCs w:val="21"/>
          <w:lang w:val="en-US" w:eastAsia="zh-CN"/>
        </w:rPr>
        <w:t>微</w:t>
      </w:r>
      <w:r>
        <w:rPr>
          <w:rFonts w:hint="default" w:ascii="Times New Roman" w:hAnsi="Times New Roman" w:cs="Times New Roman"/>
          <w:bCs/>
          <w:szCs w:val="21"/>
        </w:rPr>
        <w:t>：</w:t>
      </w:r>
      <w:r>
        <w:rPr>
          <w:rFonts w:hint="eastAsia" w:ascii="Times New Roman" w:hAnsi="Times New Roman" w:cs="Times New Roman"/>
          <w:bCs/>
          <w:szCs w:val="21"/>
          <w:lang w:val="en-US" w:eastAsia="zh-CN"/>
        </w:rPr>
        <w:t>浙江国际医疗展</w:t>
      </w:r>
    </w:p>
    <w:p w14:paraId="1B8545AE">
      <w:pPr>
        <w:spacing w:line="420" w:lineRule="exac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b/>
          <w:bCs/>
          <w:szCs w:val="21"/>
        </w:rPr>
        <w:t>企业名称</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 xml:space="preserve">                                                                                </w:t>
      </w:r>
    </w:p>
    <w:p w14:paraId="626A6D51">
      <w:pPr>
        <w:spacing w:line="420" w:lineRule="exac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b/>
          <w:bCs/>
          <w:szCs w:val="21"/>
        </w:rPr>
        <w:t>企业地址</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 xml:space="preserve">                                                                                </w:t>
      </w:r>
    </w:p>
    <w:p w14:paraId="27121BFA">
      <w:pPr>
        <w:spacing w:line="420" w:lineRule="exact"/>
        <w:rPr>
          <w:rFonts w:asciiTheme="minorEastAsia" w:hAnsiTheme="minorEastAsia" w:eastAsiaTheme="minorEastAsia" w:cstheme="minorEastAsia"/>
          <w:b/>
          <w:szCs w:val="21"/>
        </w:rPr>
      </w:pPr>
      <w:r>
        <w:rPr>
          <w:rFonts w:hint="eastAsia" w:ascii="Times New Roman" w:hAnsi="Times New Roman" w:cs="Times New Roman"/>
          <w:b/>
          <w:bCs/>
          <w:szCs w:val="21"/>
          <w:lang w:val="en-US" w:eastAsia="zh-CN"/>
        </w:rPr>
        <w:t>展位数量</w:t>
      </w:r>
      <w:r>
        <w:rPr>
          <w:rFonts w:hint="default" w:ascii="Times New Roman" w:hAnsi="Times New Roman" w:cs="Times New Roman"/>
          <w:b/>
          <w:bCs/>
          <w:szCs w:val="21"/>
        </w:rPr>
        <w:t>：（标展3</w:t>
      </w:r>
      <w:r>
        <w:rPr>
          <w:rFonts w:hint="default" w:ascii="Times New Roman" w:hAnsi="Times New Roman" w:cs="Times New Roman"/>
          <w:b/>
          <w:szCs w:val="21"/>
        </w:rPr>
        <w:t>×</w:t>
      </w:r>
      <w:r>
        <w:rPr>
          <w:rFonts w:hint="default" w:ascii="Times New Roman" w:hAnsi="Times New Roman" w:cs="Times New Roman"/>
          <w:b/>
          <w:bCs/>
          <w:szCs w:val="21"/>
        </w:rPr>
        <w:t>3）</w:t>
      </w:r>
      <w:r>
        <w:rPr>
          <w:rFonts w:hint="eastAsia" w:asciiTheme="minorEastAsia" w:hAnsiTheme="minorEastAsia" w:eastAsiaTheme="minorEastAsia" w:cstheme="minorEastAsia"/>
          <w:b/>
          <w:szCs w:val="21"/>
          <w:u w:val="single"/>
        </w:rPr>
        <w:t xml:space="preserve">                                                         </w:t>
      </w:r>
    </w:p>
    <w:p w14:paraId="61B426AE">
      <w:pPr>
        <w:spacing w:line="420" w:lineRule="exact"/>
        <w:rPr>
          <w:rFonts w:asciiTheme="minorEastAsia" w:hAnsiTheme="minorEastAsia" w:eastAsiaTheme="minorEastAsia" w:cstheme="minorEastAsia"/>
          <w:szCs w:val="21"/>
          <w:u w:val="none"/>
        </w:rPr>
      </w:pPr>
      <w:r>
        <w:rPr>
          <w:rFonts w:hint="eastAsia" w:asciiTheme="minorEastAsia" w:hAnsiTheme="minorEastAsia" w:eastAsiaTheme="minorEastAsia" w:cstheme="minorEastAsia"/>
          <w:b/>
          <w:bCs/>
          <w:szCs w:val="21"/>
        </w:rPr>
        <w:t>企业电话</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default" w:ascii="Times New Roman" w:hAnsi="Times New Roman" w:cs="Times New Roman"/>
          <w:b/>
          <w:szCs w:val="21"/>
        </w:rPr>
        <w:t>邮箱地址</w:t>
      </w:r>
      <w:r>
        <w:rPr>
          <w:rFonts w:hint="eastAsia" w:ascii="Times New Roman" w:hAnsi="Times New Roman" w:cs="Times New Roman"/>
          <w:b/>
          <w:szCs w:val="21"/>
          <w:lang w:eastAsia="zh-CN"/>
        </w:rPr>
        <w:t>（</w:t>
      </w:r>
      <w:r>
        <w:rPr>
          <w:rFonts w:hint="eastAsia" w:ascii="Times New Roman" w:hAnsi="Times New Roman" w:cs="Times New Roman"/>
          <w:b/>
          <w:szCs w:val="21"/>
          <w:lang w:val="en-US" w:eastAsia="zh-CN"/>
        </w:rPr>
        <w:t>请务必填写展位申请表联系邮箱）</w:t>
      </w:r>
      <w:r>
        <w:rPr>
          <w:rFonts w:hint="default" w:ascii="Times New Roman" w:hAnsi="Times New Roman" w:cs="Times New Roman"/>
          <w:b/>
          <w:bCs/>
          <w:szCs w:val="21"/>
        </w:rPr>
        <w:t>:</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u w:val="single"/>
        </w:rPr>
        <w:t xml:space="preserve">                    </w:t>
      </w:r>
    </w:p>
    <w:p w14:paraId="1B80F517">
      <w:pPr>
        <w:spacing w:line="420" w:lineRule="exac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b/>
          <w:bCs/>
          <w:szCs w:val="21"/>
        </w:rPr>
        <w:t>联系人</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联系</w:t>
      </w:r>
      <w:r>
        <w:rPr>
          <w:rFonts w:hint="eastAsia" w:asciiTheme="minorEastAsia" w:hAnsiTheme="minorEastAsia" w:eastAsiaTheme="minorEastAsia" w:cstheme="minorEastAsia"/>
          <w:b/>
          <w:bCs/>
          <w:szCs w:val="21"/>
        </w:rPr>
        <w:t>电话（手机）</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 xml:space="preserve">                                     </w:t>
      </w:r>
    </w:p>
    <w:p w14:paraId="22007222">
      <w:pPr>
        <w:spacing w:line="42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★请勾选企业性质：</w:t>
      </w:r>
      <w:r>
        <w:rPr>
          <w:rFonts w:hint="eastAsia" w:asciiTheme="minorEastAsia" w:hAnsiTheme="minorEastAsia" w:eastAsiaTheme="minorEastAsia" w:cstheme="minorEastAsia"/>
          <w:bCs/>
          <w:szCs w:val="21"/>
        </w:rPr>
        <w:t xml:space="preserve"> □生产厂家      □全国总代      □全省总代      □经销商</w:t>
      </w:r>
    </w:p>
    <w:p w14:paraId="6DC00EBD">
      <w:pPr>
        <w:spacing w:line="42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★请勾选主营产品类别：</w:t>
      </w:r>
    </w:p>
    <w:p w14:paraId="4A3973D2">
      <w:pPr>
        <w:spacing w:line="420" w:lineRule="exact"/>
        <w:ind w:left="630" w:hanging="630" w:hangingChars="3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Cs/>
          <w:szCs w:val="21"/>
        </w:rPr>
        <w:t>□呼吸麻醉监护   □检验   □超声   □放射   □手术室供应室消杀   □</w:t>
      </w:r>
      <w:r>
        <w:rPr>
          <w:rFonts w:hint="eastAsia" w:asciiTheme="minorEastAsia" w:hAnsiTheme="minorEastAsia" w:eastAsiaTheme="minorEastAsia" w:cstheme="minorEastAsia"/>
          <w:szCs w:val="21"/>
        </w:rPr>
        <w:t xml:space="preserve">内窥镜   </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lang w:val="en-US" w:eastAsia="zh-CN"/>
        </w:rPr>
        <w:t>中医康复</w:t>
      </w:r>
    </w:p>
    <w:p w14:paraId="6028876D">
      <w:pPr>
        <w:spacing w:line="420" w:lineRule="exact"/>
        <w:ind w:left="630" w:hanging="630" w:hangingChars="3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lang w:val="en-US" w:eastAsia="zh-CN"/>
        </w:rPr>
        <w:t xml:space="preserve">医学科研实验室   </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综合</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皮肤美容治疗</w:t>
      </w:r>
    </w:p>
    <w:p w14:paraId="3014D5DC">
      <w:pPr>
        <w:spacing w:line="420" w:lineRule="exact"/>
        <w:ind w:left="3129" w:hanging="3129" w:hangingChars="149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公司主营产品</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限写5个以内公司主要产品即可）</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p>
    <w:p w14:paraId="07E988F8">
      <w:pPr>
        <w:spacing w:line="420" w:lineRule="exact"/>
        <w:ind w:left="3129" w:hanging="3129" w:hangingChars="149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14:paraId="470DA26E">
      <w:pPr>
        <w:spacing w:line="42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★是否首次报名参展：</w:t>
      </w:r>
      <w:r>
        <w:rPr>
          <w:rFonts w:hint="eastAsia" w:asciiTheme="minorEastAsia" w:hAnsiTheme="minorEastAsia" w:eastAsiaTheme="minorEastAsia" w:cstheme="minorEastAsia"/>
          <w:bCs/>
          <w:szCs w:val="21"/>
        </w:rPr>
        <w:t>□是    □否</w:t>
      </w:r>
    </w:p>
    <w:p w14:paraId="43E2E490">
      <w:pPr>
        <w:spacing w:line="42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本企业郑重承诺：展览期间服从展会组委会的安排，严格遵循</w:t>
      </w:r>
      <w:r>
        <w:rPr>
          <w:rFonts w:hint="eastAsia" w:asciiTheme="minorEastAsia" w:hAnsiTheme="minorEastAsia" w:eastAsiaTheme="minorEastAsia" w:cstheme="minorEastAsia"/>
          <w:b/>
          <w:bCs/>
          <w:szCs w:val="21"/>
          <w:lang w:val="en-US" w:eastAsia="zh-CN"/>
        </w:rPr>
        <w:t>4</w:t>
      </w:r>
      <w:r>
        <w:rPr>
          <w:rFonts w:hint="eastAsia" w:asciiTheme="minorEastAsia" w:hAnsiTheme="minorEastAsia" w:eastAsiaTheme="minorEastAsia" w:cstheme="minorEastAsia"/>
          <w:b/>
          <w:bCs/>
          <w:szCs w:val="21"/>
        </w:rPr>
        <w:t>月</w:t>
      </w:r>
      <w:r>
        <w:rPr>
          <w:rFonts w:hint="eastAsia" w:asciiTheme="minorEastAsia" w:hAnsiTheme="minorEastAsia" w:eastAsiaTheme="minorEastAsia" w:cstheme="minorEastAsia"/>
          <w:b/>
          <w:bCs/>
          <w:szCs w:val="21"/>
          <w:lang w:val="en-US" w:eastAsia="zh-CN"/>
        </w:rPr>
        <w:t>2</w:t>
      </w:r>
      <w:r>
        <w:rPr>
          <w:rFonts w:hint="eastAsia" w:asciiTheme="minorEastAsia" w:hAnsiTheme="minorEastAsia" w:eastAsiaTheme="minorEastAsia" w:cstheme="minorEastAsia"/>
          <w:b/>
          <w:bCs/>
          <w:szCs w:val="21"/>
        </w:rPr>
        <w:t>日12:00至2</w:t>
      </w:r>
      <w:r>
        <w:rPr>
          <w:rFonts w:hint="eastAsia" w:asciiTheme="minorEastAsia" w:hAnsiTheme="minorEastAsia" w:eastAsiaTheme="minorEastAsia" w:cstheme="minorEastAsia"/>
          <w:b/>
          <w:bCs/>
          <w:szCs w:val="21"/>
          <w:lang w:val="en-US" w:eastAsia="zh-CN"/>
        </w:rPr>
        <w:t>1</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0撤展的规定。</w:t>
      </w:r>
    </w:p>
    <w:p w14:paraId="3746BA88">
      <w:pPr>
        <w:spacing w:line="420" w:lineRule="exact"/>
        <w:rPr>
          <w:rFonts w:asciiTheme="minorEastAsia" w:hAnsiTheme="minorEastAsia" w:eastAsiaTheme="minorEastAsia" w:cstheme="minorEastAsia"/>
          <w:b/>
          <w:bCs/>
          <w:szCs w:val="21"/>
        </w:rPr>
      </w:pPr>
    </w:p>
    <w:p w14:paraId="4F4C4A8B">
      <w:pPr>
        <w:spacing w:line="42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Cs/>
          <w:szCs w:val="21"/>
        </w:rPr>
        <w:t>申请企业（盖章）：</w:t>
      </w:r>
      <w:r>
        <w:rPr>
          <w:rFonts w:hint="eastAsia" w:asciiTheme="minorEastAsia" w:hAnsiTheme="minorEastAsia" w:eastAsiaTheme="minorEastAsia" w:cstheme="minorEastAsia"/>
          <w:b/>
          <w:bCs/>
          <w:szCs w:val="21"/>
        </w:rPr>
        <w:t xml:space="preserve">                             </w:t>
      </w:r>
      <w:r>
        <w:rPr>
          <w:rFonts w:hint="default" w:ascii="Times New Roman" w:hAnsi="Times New Roman" w:cs="Times New Roman"/>
          <w:bCs/>
          <w:szCs w:val="21"/>
        </w:rPr>
        <w:t>单位法人</w:t>
      </w:r>
      <w:r>
        <w:rPr>
          <w:rFonts w:hint="eastAsia" w:ascii="Times New Roman" w:hAnsi="Times New Roman" w:cs="Times New Roman"/>
          <w:bCs/>
          <w:szCs w:val="21"/>
          <w:lang w:val="en-US" w:eastAsia="zh-CN"/>
        </w:rPr>
        <w:t>或授权代表人</w:t>
      </w:r>
      <w:r>
        <w:rPr>
          <w:rFonts w:hint="default" w:ascii="Times New Roman" w:hAnsi="Times New Roman" w:cs="Times New Roman"/>
          <w:bCs/>
          <w:szCs w:val="21"/>
        </w:rPr>
        <w:t>（签字）：</w:t>
      </w:r>
    </w:p>
    <w:p w14:paraId="458E352F">
      <w:pPr>
        <w:spacing w:line="420" w:lineRule="exact"/>
        <w:ind w:firstLine="7245" w:firstLineChars="345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年   月    日</w:t>
      </w:r>
    </w:p>
    <w:p w14:paraId="21A07BAA">
      <w:pPr>
        <w:spacing w:line="420" w:lineRule="exact"/>
        <w:ind w:left="1031" w:hanging="1031" w:hangingChars="49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4798462F">
      <w:pPr>
        <w:spacing w:line="420" w:lineRule="exact"/>
        <w:ind w:left="1031" w:hanging="1031" w:hangingChars="49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以下由组委会填写。</w:t>
      </w:r>
    </w:p>
    <w:p w14:paraId="3734D683">
      <w:pPr>
        <w:spacing w:line="420" w:lineRule="exact"/>
        <w:ind w:left="1035" w:hanging="1035" w:hangingChars="491"/>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特别说明：</w:t>
      </w:r>
    </w:p>
    <w:p w14:paraId="3645D669">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参展单位</w:t>
      </w:r>
      <w:r>
        <w:rPr>
          <w:rFonts w:hint="eastAsia" w:asciiTheme="minorEastAsia" w:hAnsiTheme="minorEastAsia" w:eastAsiaTheme="minorEastAsia" w:cstheme="minorEastAsia"/>
          <w:b/>
          <w:bCs/>
          <w:szCs w:val="21"/>
          <w:lang w:val="en-US" w:eastAsia="zh-CN"/>
        </w:rPr>
        <w:t>在收到组委会邮件展位回复后，</w:t>
      </w:r>
      <w:r>
        <w:rPr>
          <w:rFonts w:hint="eastAsia" w:asciiTheme="minorEastAsia" w:hAnsiTheme="minorEastAsia" w:eastAsiaTheme="minorEastAsia" w:cstheme="minorEastAsia"/>
          <w:b/>
          <w:bCs/>
          <w:szCs w:val="21"/>
        </w:rPr>
        <w:t>若在202</w:t>
      </w:r>
      <w:r>
        <w:rPr>
          <w:rFonts w:hint="eastAsia" w:asciiTheme="minorEastAsia" w:hAnsiTheme="minorEastAsia" w:eastAsiaTheme="minorEastAsia" w:cstheme="minorEastAsia"/>
          <w:b/>
          <w:bCs/>
          <w:szCs w:val="21"/>
          <w:lang w:val="en-US" w:eastAsia="zh-CN"/>
        </w:rPr>
        <w:t>6</w:t>
      </w:r>
      <w:r>
        <w:rPr>
          <w:rFonts w:hint="eastAsia" w:asciiTheme="minorEastAsia" w:hAnsiTheme="minorEastAsia" w:eastAsiaTheme="minorEastAsia" w:cstheme="minorEastAsia"/>
          <w:b/>
          <w:bCs/>
          <w:szCs w:val="21"/>
        </w:rPr>
        <w:t>年1月</w:t>
      </w:r>
      <w:r>
        <w:rPr>
          <w:rFonts w:hint="eastAsia" w:asciiTheme="minorEastAsia" w:hAnsiTheme="minorEastAsia" w:eastAsiaTheme="minorEastAsia" w:cstheme="minorEastAsia"/>
          <w:b/>
          <w:bCs/>
          <w:szCs w:val="21"/>
          <w:lang w:val="en-US" w:eastAsia="zh-CN"/>
        </w:rPr>
        <w:t>16</w:t>
      </w:r>
      <w:r>
        <w:rPr>
          <w:rFonts w:hint="eastAsia" w:asciiTheme="minorEastAsia" w:hAnsiTheme="minorEastAsia" w:eastAsiaTheme="minorEastAsia" w:cstheme="minorEastAsia"/>
          <w:b/>
          <w:bCs/>
          <w:szCs w:val="21"/>
        </w:rPr>
        <w:t>日前全额缴纳展位费可享受1000元/每展位的优惠；若在202</w:t>
      </w:r>
      <w:r>
        <w:rPr>
          <w:rFonts w:hint="eastAsia" w:asciiTheme="minorEastAsia" w:hAnsiTheme="minorEastAsia" w:eastAsiaTheme="minorEastAsia" w:cstheme="minorEastAsia"/>
          <w:b/>
          <w:bCs/>
          <w:szCs w:val="21"/>
          <w:lang w:val="en-US" w:eastAsia="zh-CN"/>
        </w:rPr>
        <w:t>6</w:t>
      </w:r>
      <w:r>
        <w:rPr>
          <w:rFonts w:hint="eastAsia" w:asciiTheme="minorEastAsia" w:hAnsiTheme="minorEastAsia" w:eastAsiaTheme="minorEastAsia" w:cstheme="minorEastAsia"/>
          <w:b/>
          <w:bCs/>
          <w:szCs w:val="21"/>
        </w:rPr>
        <w:t>年2月</w:t>
      </w:r>
      <w:r>
        <w:rPr>
          <w:rFonts w:hint="eastAsia" w:asciiTheme="minorEastAsia" w:hAnsiTheme="minorEastAsia" w:eastAsiaTheme="minorEastAsia" w:cstheme="minorEastAsia"/>
          <w:b/>
          <w:bCs/>
          <w:szCs w:val="21"/>
          <w:lang w:val="en-US" w:eastAsia="zh-CN"/>
        </w:rPr>
        <w:t>27</w:t>
      </w:r>
      <w:r>
        <w:rPr>
          <w:rFonts w:hint="eastAsia" w:asciiTheme="minorEastAsia" w:hAnsiTheme="minorEastAsia" w:eastAsiaTheme="minorEastAsia" w:cstheme="minorEastAsia"/>
          <w:b/>
          <w:bCs/>
          <w:szCs w:val="21"/>
        </w:rPr>
        <w:t>日前未全额缴纳展位费，原订展位视为自动放弃，不予保留。展位以展位费到账后予以确定，主办单位对展位调整拥有最终解释权。</w:t>
      </w:r>
    </w:p>
    <w:p w14:paraId="72EA2F61">
      <w:pPr>
        <w:ind w:firstLine="422" w:firstLineChars="200"/>
        <w:rPr>
          <w:rFonts w:asciiTheme="minorEastAsia" w:hAnsiTheme="minorEastAsia" w:eastAsiaTheme="minorEastAsia" w:cstheme="minorEastAsia"/>
          <w:b/>
          <w:bCs/>
          <w:szCs w:val="21"/>
        </w:rPr>
      </w:pPr>
    </w:p>
    <w:p w14:paraId="5C1DEC31">
      <w:pPr>
        <w:spacing w:line="420" w:lineRule="exact"/>
        <w:ind w:firstLine="207" w:firstLineChars="98"/>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展  位  号</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展位费</w:t>
      </w:r>
      <w:r>
        <w:rPr>
          <w:rFonts w:hint="eastAsia" w:asciiTheme="minorEastAsia" w:hAnsiTheme="minorEastAsia" w:eastAsiaTheme="minorEastAsia" w:cstheme="minorEastAsia"/>
          <w:b/>
          <w:bCs/>
          <w:szCs w:val="21"/>
        </w:rPr>
        <w:t>金额</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 xml:space="preserve">                             </w:t>
      </w:r>
    </w:p>
    <w:p w14:paraId="16C34901">
      <w:pPr>
        <w:rPr>
          <w:rFonts w:asciiTheme="minorEastAsia" w:hAnsiTheme="minorEastAsia" w:eastAsiaTheme="minorEastAsia" w:cstheme="minorEastAsia"/>
          <w:bCs/>
          <w:sz w:val="2"/>
          <w:szCs w:val="2"/>
        </w:rPr>
      </w:pPr>
    </w:p>
    <w:p w14:paraId="72551C7E">
      <w:pPr>
        <w:spacing w:line="420" w:lineRule="exact"/>
        <w:ind w:firstLine="207" w:firstLineChars="98"/>
        <w:rPr>
          <w:rFonts w:asciiTheme="minorEastAsia" w:hAnsiTheme="minorEastAsia" w:eastAsiaTheme="minorEastAsia" w:cstheme="minorEastAsia"/>
        </w:rPr>
      </w:pPr>
      <w:r>
        <w:rPr>
          <w:rFonts w:hint="eastAsia" w:asciiTheme="minorEastAsia" w:hAnsiTheme="minorEastAsia" w:eastAsiaTheme="minorEastAsia" w:cstheme="minorEastAsia"/>
          <w:b/>
          <w:bCs/>
          <w:szCs w:val="21"/>
        </w:rPr>
        <w:t>组委会确认</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确认</w:t>
      </w:r>
      <w:r>
        <w:rPr>
          <w:rFonts w:hint="eastAsia" w:asciiTheme="minorEastAsia" w:hAnsiTheme="minorEastAsia" w:eastAsiaTheme="minorEastAsia" w:cstheme="minorEastAsia"/>
          <w:b/>
          <w:bCs/>
          <w:szCs w:val="21"/>
        </w:rPr>
        <w:t>日期</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u w:val="single"/>
        </w:rPr>
        <w:t xml:space="preserve">                               </w:t>
      </w:r>
    </w:p>
    <w:sectPr>
      <w:pgSz w:w="11906" w:h="16838"/>
      <w:pgMar w:top="779" w:right="1106" w:bottom="1091"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OGEwNGNjZmZlMGNmNDU3ZDMwMDhhYTEzZmQ1MjQifQ=="/>
  </w:docVars>
  <w:rsids>
    <w:rsidRoot w:val="008E1823"/>
    <w:rsid w:val="00000E87"/>
    <w:rsid w:val="001A1E1F"/>
    <w:rsid w:val="00412B27"/>
    <w:rsid w:val="00531023"/>
    <w:rsid w:val="00584C73"/>
    <w:rsid w:val="006318A4"/>
    <w:rsid w:val="0071538D"/>
    <w:rsid w:val="007510C5"/>
    <w:rsid w:val="008D2BDE"/>
    <w:rsid w:val="008E1823"/>
    <w:rsid w:val="009213BC"/>
    <w:rsid w:val="0096325B"/>
    <w:rsid w:val="009B48C7"/>
    <w:rsid w:val="009E1128"/>
    <w:rsid w:val="00B33D68"/>
    <w:rsid w:val="00DD1410"/>
    <w:rsid w:val="01E4322D"/>
    <w:rsid w:val="02477318"/>
    <w:rsid w:val="0260595B"/>
    <w:rsid w:val="02777BFD"/>
    <w:rsid w:val="02A91D81"/>
    <w:rsid w:val="02B270B0"/>
    <w:rsid w:val="03327FC8"/>
    <w:rsid w:val="040147C5"/>
    <w:rsid w:val="055D4407"/>
    <w:rsid w:val="05BB128E"/>
    <w:rsid w:val="0A8E0BCA"/>
    <w:rsid w:val="0ACB4F8A"/>
    <w:rsid w:val="0B8E420A"/>
    <w:rsid w:val="0BFE4EEC"/>
    <w:rsid w:val="0C067785"/>
    <w:rsid w:val="0C37664F"/>
    <w:rsid w:val="0C8C699B"/>
    <w:rsid w:val="0F697AF2"/>
    <w:rsid w:val="0FFE1A3C"/>
    <w:rsid w:val="10060813"/>
    <w:rsid w:val="104D4694"/>
    <w:rsid w:val="113D64B6"/>
    <w:rsid w:val="115B693C"/>
    <w:rsid w:val="133C7E89"/>
    <w:rsid w:val="136E04BB"/>
    <w:rsid w:val="146E4BD8"/>
    <w:rsid w:val="15116E6A"/>
    <w:rsid w:val="17283764"/>
    <w:rsid w:val="17390A6D"/>
    <w:rsid w:val="179339F9"/>
    <w:rsid w:val="195E01C7"/>
    <w:rsid w:val="1A441C06"/>
    <w:rsid w:val="1A5D2FCC"/>
    <w:rsid w:val="1BEC56A9"/>
    <w:rsid w:val="1C423778"/>
    <w:rsid w:val="1C7D33DC"/>
    <w:rsid w:val="1D0F7823"/>
    <w:rsid w:val="1E9258DD"/>
    <w:rsid w:val="1EF36406"/>
    <w:rsid w:val="1FBC6142"/>
    <w:rsid w:val="1FCC27B5"/>
    <w:rsid w:val="20D63BC2"/>
    <w:rsid w:val="21132D8F"/>
    <w:rsid w:val="2164183D"/>
    <w:rsid w:val="21EA1D42"/>
    <w:rsid w:val="22FD5AA5"/>
    <w:rsid w:val="23515DF1"/>
    <w:rsid w:val="23AD7134"/>
    <w:rsid w:val="241B6F7C"/>
    <w:rsid w:val="24853665"/>
    <w:rsid w:val="25445C0D"/>
    <w:rsid w:val="25BA7C7E"/>
    <w:rsid w:val="26DB60FD"/>
    <w:rsid w:val="27593B63"/>
    <w:rsid w:val="288A5883"/>
    <w:rsid w:val="29192F0D"/>
    <w:rsid w:val="29585286"/>
    <w:rsid w:val="2A614D7B"/>
    <w:rsid w:val="2D0E6879"/>
    <w:rsid w:val="2DB31B82"/>
    <w:rsid w:val="2EB51335"/>
    <w:rsid w:val="302E70B5"/>
    <w:rsid w:val="30AB5FB9"/>
    <w:rsid w:val="33C85C5B"/>
    <w:rsid w:val="33F56325"/>
    <w:rsid w:val="34216FC2"/>
    <w:rsid w:val="344973C2"/>
    <w:rsid w:val="35210933"/>
    <w:rsid w:val="35FC46ED"/>
    <w:rsid w:val="36637FA6"/>
    <w:rsid w:val="36AD14FD"/>
    <w:rsid w:val="384A4E91"/>
    <w:rsid w:val="38F45D06"/>
    <w:rsid w:val="39657CFB"/>
    <w:rsid w:val="3A391641"/>
    <w:rsid w:val="3B4534D2"/>
    <w:rsid w:val="3BB90DA1"/>
    <w:rsid w:val="3BDA477E"/>
    <w:rsid w:val="3C0D4289"/>
    <w:rsid w:val="3C4B11D8"/>
    <w:rsid w:val="3CED451E"/>
    <w:rsid w:val="3D770D92"/>
    <w:rsid w:val="3E530817"/>
    <w:rsid w:val="3E6F3ED9"/>
    <w:rsid w:val="3EDA4EFD"/>
    <w:rsid w:val="3F3643C1"/>
    <w:rsid w:val="40082D17"/>
    <w:rsid w:val="402532C5"/>
    <w:rsid w:val="407C40CB"/>
    <w:rsid w:val="438E272A"/>
    <w:rsid w:val="43E86713"/>
    <w:rsid w:val="45103A6F"/>
    <w:rsid w:val="452D147E"/>
    <w:rsid w:val="4577136D"/>
    <w:rsid w:val="46DD02AE"/>
    <w:rsid w:val="47953EB0"/>
    <w:rsid w:val="48A50C64"/>
    <w:rsid w:val="48F50E49"/>
    <w:rsid w:val="4AB663B6"/>
    <w:rsid w:val="4BC673AB"/>
    <w:rsid w:val="4D5F3002"/>
    <w:rsid w:val="4D9A32F6"/>
    <w:rsid w:val="4DFA4FC3"/>
    <w:rsid w:val="4EA622D4"/>
    <w:rsid w:val="4EE62AC3"/>
    <w:rsid w:val="50E61077"/>
    <w:rsid w:val="517B2107"/>
    <w:rsid w:val="51DC2BA6"/>
    <w:rsid w:val="57030139"/>
    <w:rsid w:val="570F3352"/>
    <w:rsid w:val="573467EC"/>
    <w:rsid w:val="5735658C"/>
    <w:rsid w:val="57A8352A"/>
    <w:rsid w:val="57DF24DA"/>
    <w:rsid w:val="585C1AFD"/>
    <w:rsid w:val="58DF2304"/>
    <w:rsid w:val="592076AB"/>
    <w:rsid w:val="5ABD5454"/>
    <w:rsid w:val="5B046CCA"/>
    <w:rsid w:val="5C3C668F"/>
    <w:rsid w:val="5CEE7C31"/>
    <w:rsid w:val="5CFF3BED"/>
    <w:rsid w:val="5E435D5B"/>
    <w:rsid w:val="5ECB647C"/>
    <w:rsid w:val="5F683CCB"/>
    <w:rsid w:val="604E1113"/>
    <w:rsid w:val="612B7EF1"/>
    <w:rsid w:val="61C835EC"/>
    <w:rsid w:val="625D77B5"/>
    <w:rsid w:val="627D6A96"/>
    <w:rsid w:val="63B05906"/>
    <w:rsid w:val="63D731CD"/>
    <w:rsid w:val="641F56B2"/>
    <w:rsid w:val="64776585"/>
    <w:rsid w:val="64B17F4D"/>
    <w:rsid w:val="66320B8F"/>
    <w:rsid w:val="6728768F"/>
    <w:rsid w:val="68DC2023"/>
    <w:rsid w:val="6AC90DA0"/>
    <w:rsid w:val="6BCD23BE"/>
    <w:rsid w:val="6F6D0E8A"/>
    <w:rsid w:val="6F753A7C"/>
    <w:rsid w:val="7089584F"/>
    <w:rsid w:val="73700F48"/>
    <w:rsid w:val="7410193E"/>
    <w:rsid w:val="76B50701"/>
    <w:rsid w:val="76E47C83"/>
    <w:rsid w:val="772069EF"/>
    <w:rsid w:val="7879089F"/>
    <w:rsid w:val="79773031"/>
    <w:rsid w:val="79F31C28"/>
    <w:rsid w:val="7B6350E6"/>
    <w:rsid w:val="7B6C6499"/>
    <w:rsid w:val="7B827EE3"/>
    <w:rsid w:val="7C3068C2"/>
    <w:rsid w:val="7E6C0E17"/>
    <w:rsid w:val="7EF1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4132</Words>
  <Characters>4430</Characters>
  <Lines>39</Lines>
  <Paragraphs>11</Paragraphs>
  <TotalTime>1</TotalTime>
  <ScaleCrop>false</ScaleCrop>
  <LinksUpToDate>false</LinksUpToDate>
  <CharactersWithSpaces>5298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2018-09-18T03:13:00Z</dcterms:created>
  <dc:creator>wangmaofang</dc:creator>
  <cp:lastModifiedBy>Bosco</cp:lastModifiedBy>
  <dcterms:modified xsi:type="dcterms:W3CDTF">2025-11-27T02:52:59Z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41A819FE35F845BAA0A60016B5CB622B_13</vt:lpwstr>
  </property>
  <property fmtid="{D5CDD505-2E9C-101B-9397-08002B2CF9AE}" pid="4" name="KSOTemplateDocerSaveRecord">
    <vt:lpwstr>eyJoZGlkIjoiMTM5NTNmNDA5MDUwZjU2YzQwZjY4MmEzZmI3ZDhhMDciLCJ1c2VySWQiOiI3OTEyMjczNTAifQ==</vt:lpwstr>
  </property>
</Properties>
</file>